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AE300" w14:textId="7B2062A5" w:rsidR="00AB25BA" w:rsidRPr="003A3D94" w:rsidRDefault="00AB25BA" w:rsidP="00AB25BA">
      <w:pPr>
        <w:rPr>
          <w:rFonts w:ascii="Times New Roman" w:hAnsi="Times New Roman" w:cs="Times New Roman"/>
          <w:sz w:val="20"/>
          <w:szCs w:val="20"/>
        </w:rPr>
      </w:pPr>
      <w:r w:rsidRPr="003A3D94">
        <w:rPr>
          <w:rFonts w:ascii="Times New Roman" w:hAnsi="Times New Roman" w:cs="Times New Roman"/>
          <w:sz w:val="20"/>
          <w:szCs w:val="20"/>
        </w:rPr>
        <w:t>Kommentaarid meetme määruse eelnõule „Kättesaadavate kvaliteetsete avalike teenuste toetuse andmise tingimused ja kord“ mitteametlik ring</w:t>
      </w:r>
      <w:r w:rsidR="004F08F8">
        <w:rPr>
          <w:rFonts w:ascii="Times New Roman" w:hAnsi="Times New Roman" w:cs="Times New Roman"/>
          <w:sz w:val="20"/>
          <w:szCs w:val="20"/>
        </w:rPr>
        <w:t xml:space="preserve"> juuli </w:t>
      </w:r>
      <w:r w:rsidRPr="003A3D94">
        <w:rPr>
          <w:rFonts w:ascii="Times New Roman" w:hAnsi="Times New Roman" w:cs="Times New Roman"/>
          <w:sz w:val="20"/>
          <w:szCs w:val="20"/>
        </w:rPr>
        <w:t>2024</w:t>
      </w:r>
    </w:p>
    <w:tbl>
      <w:tblPr>
        <w:tblStyle w:val="TableGrid"/>
        <w:tblW w:w="13992" w:type="dxa"/>
        <w:tblLayout w:type="fixed"/>
        <w:tblLook w:val="04A0" w:firstRow="1" w:lastRow="0" w:firstColumn="1" w:lastColumn="0" w:noHBand="0" w:noVBand="1"/>
      </w:tblPr>
      <w:tblGrid>
        <w:gridCol w:w="689"/>
        <w:gridCol w:w="1007"/>
        <w:gridCol w:w="1276"/>
        <w:gridCol w:w="3686"/>
        <w:gridCol w:w="3685"/>
        <w:gridCol w:w="3649"/>
      </w:tblGrid>
      <w:tr w:rsidR="00AB25BA" w:rsidRPr="003A3D94" w14:paraId="704DE252" w14:textId="77777777" w:rsidTr="003A3D94">
        <w:tc>
          <w:tcPr>
            <w:tcW w:w="689" w:type="dxa"/>
          </w:tcPr>
          <w:p w14:paraId="0DD34B73" w14:textId="77777777" w:rsidR="00AB25BA" w:rsidRPr="003A3D94" w:rsidRDefault="00AB25BA" w:rsidP="00A409E0">
            <w:pPr>
              <w:rPr>
                <w:rFonts w:ascii="Times New Roman" w:hAnsi="Times New Roman" w:cs="Times New Roman"/>
                <w:b/>
                <w:bCs/>
                <w:sz w:val="20"/>
                <w:szCs w:val="20"/>
              </w:rPr>
            </w:pPr>
            <w:r w:rsidRPr="003A3D94">
              <w:rPr>
                <w:rFonts w:ascii="Times New Roman" w:hAnsi="Times New Roman" w:cs="Times New Roman"/>
                <w:b/>
                <w:bCs/>
                <w:sz w:val="20"/>
                <w:szCs w:val="20"/>
              </w:rPr>
              <w:t>Jrk nr</w:t>
            </w:r>
          </w:p>
        </w:tc>
        <w:tc>
          <w:tcPr>
            <w:tcW w:w="1007" w:type="dxa"/>
          </w:tcPr>
          <w:p w14:paraId="7E022316" w14:textId="77777777" w:rsidR="00AB25BA" w:rsidRPr="003A3D94" w:rsidRDefault="00AB25BA" w:rsidP="00A409E0">
            <w:pPr>
              <w:rPr>
                <w:rFonts w:ascii="Times New Roman" w:hAnsi="Times New Roman" w:cs="Times New Roman"/>
                <w:b/>
                <w:bCs/>
                <w:sz w:val="20"/>
                <w:szCs w:val="20"/>
              </w:rPr>
            </w:pPr>
            <w:r w:rsidRPr="003A3D94">
              <w:rPr>
                <w:rFonts w:ascii="Times New Roman" w:hAnsi="Times New Roman" w:cs="Times New Roman"/>
                <w:b/>
                <w:bCs/>
                <w:sz w:val="20"/>
                <w:szCs w:val="20"/>
              </w:rPr>
              <w:t>Esitaja</w:t>
            </w:r>
          </w:p>
        </w:tc>
        <w:tc>
          <w:tcPr>
            <w:tcW w:w="1276" w:type="dxa"/>
          </w:tcPr>
          <w:p w14:paraId="3308F88E" w14:textId="77777777" w:rsidR="00AB25BA" w:rsidRPr="003A3D94" w:rsidRDefault="00AB25BA" w:rsidP="00A409E0">
            <w:pPr>
              <w:rPr>
                <w:rFonts w:ascii="Times New Roman" w:hAnsi="Times New Roman" w:cs="Times New Roman"/>
                <w:b/>
                <w:bCs/>
                <w:sz w:val="20"/>
                <w:szCs w:val="20"/>
              </w:rPr>
            </w:pPr>
            <w:r w:rsidRPr="003A3D94">
              <w:rPr>
                <w:rFonts w:ascii="Times New Roman" w:hAnsi="Times New Roman" w:cs="Times New Roman"/>
                <w:b/>
                <w:bCs/>
                <w:sz w:val="20"/>
                <w:szCs w:val="20"/>
              </w:rPr>
              <w:t>§</w:t>
            </w:r>
          </w:p>
        </w:tc>
        <w:tc>
          <w:tcPr>
            <w:tcW w:w="3686" w:type="dxa"/>
          </w:tcPr>
          <w:p w14:paraId="7A343946" w14:textId="77777777" w:rsidR="00AB25BA" w:rsidRPr="003A3D94" w:rsidRDefault="00AB25BA" w:rsidP="00A409E0">
            <w:pPr>
              <w:rPr>
                <w:rFonts w:ascii="Times New Roman" w:hAnsi="Times New Roman" w:cs="Times New Roman"/>
                <w:b/>
                <w:bCs/>
                <w:sz w:val="20"/>
                <w:szCs w:val="20"/>
              </w:rPr>
            </w:pPr>
            <w:r w:rsidRPr="003A3D94">
              <w:rPr>
                <w:rFonts w:ascii="Times New Roman" w:hAnsi="Times New Roman" w:cs="Times New Roman"/>
                <w:b/>
                <w:bCs/>
                <w:sz w:val="20"/>
                <w:szCs w:val="20"/>
              </w:rPr>
              <w:t>Ettepanek sõnastusele eelnõu tekstis</w:t>
            </w:r>
          </w:p>
        </w:tc>
        <w:tc>
          <w:tcPr>
            <w:tcW w:w="3685" w:type="dxa"/>
          </w:tcPr>
          <w:p w14:paraId="40861C87" w14:textId="77777777" w:rsidR="00AB25BA" w:rsidRPr="003A3D94" w:rsidRDefault="00AB25BA" w:rsidP="00A409E0">
            <w:pPr>
              <w:rPr>
                <w:rFonts w:ascii="Times New Roman" w:hAnsi="Times New Roman" w:cs="Times New Roman"/>
                <w:b/>
                <w:bCs/>
                <w:sz w:val="20"/>
                <w:szCs w:val="20"/>
              </w:rPr>
            </w:pPr>
            <w:r w:rsidRPr="003A3D94">
              <w:rPr>
                <w:rFonts w:ascii="Times New Roman" w:hAnsi="Times New Roman" w:cs="Times New Roman"/>
                <w:b/>
                <w:bCs/>
                <w:sz w:val="20"/>
                <w:szCs w:val="20"/>
              </w:rPr>
              <w:t>Esitaja selgitus märkusele</w:t>
            </w:r>
          </w:p>
        </w:tc>
        <w:tc>
          <w:tcPr>
            <w:tcW w:w="3649" w:type="dxa"/>
          </w:tcPr>
          <w:p w14:paraId="740148AC" w14:textId="77777777" w:rsidR="00AB25BA" w:rsidRPr="003A3D94" w:rsidRDefault="00AB25BA" w:rsidP="00A409E0">
            <w:pPr>
              <w:rPr>
                <w:rFonts w:ascii="Times New Roman" w:hAnsi="Times New Roman" w:cs="Times New Roman"/>
                <w:b/>
                <w:bCs/>
                <w:sz w:val="20"/>
                <w:szCs w:val="20"/>
              </w:rPr>
            </w:pPr>
            <w:r w:rsidRPr="003A3D94">
              <w:rPr>
                <w:rFonts w:ascii="Times New Roman" w:hAnsi="Times New Roman" w:cs="Times New Roman"/>
                <w:b/>
                <w:bCs/>
                <w:sz w:val="20"/>
                <w:szCs w:val="20"/>
              </w:rPr>
              <w:t>RM REGO vastus</w:t>
            </w:r>
            <w:r w:rsidRPr="003A3D94">
              <w:rPr>
                <w:rFonts w:ascii="Times New Roman" w:hAnsi="Times New Roman" w:cs="Times New Roman"/>
                <w:b/>
                <w:bCs/>
                <w:color w:val="1F497D"/>
                <w:sz w:val="20"/>
                <w:szCs w:val="20"/>
              </w:rPr>
              <w:t xml:space="preserve"> </w:t>
            </w:r>
          </w:p>
        </w:tc>
      </w:tr>
      <w:tr w:rsidR="00AB25BA" w:rsidRPr="003A3D94" w14:paraId="0C5F8852" w14:textId="77777777" w:rsidTr="003A3D94">
        <w:tc>
          <w:tcPr>
            <w:tcW w:w="689" w:type="dxa"/>
          </w:tcPr>
          <w:p w14:paraId="76F05D18" w14:textId="77777777"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w:t>
            </w:r>
          </w:p>
        </w:tc>
        <w:tc>
          <w:tcPr>
            <w:tcW w:w="1007" w:type="dxa"/>
          </w:tcPr>
          <w:p w14:paraId="7E3064EA" w14:textId="1A1EF00D" w:rsidR="00AB25BA" w:rsidRPr="003A3D94" w:rsidRDefault="00D522A1" w:rsidP="00A409E0">
            <w:pPr>
              <w:rPr>
                <w:rFonts w:ascii="Times New Roman" w:hAnsi="Times New Roman" w:cs="Times New Roman"/>
                <w:sz w:val="20"/>
                <w:szCs w:val="20"/>
              </w:rPr>
            </w:pPr>
            <w:r w:rsidRPr="003A3D94">
              <w:rPr>
                <w:rFonts w:ascii="Times New Roman" w:hAnsi="Times New Roman" w:cs="Times New Roman"/>
                <w:sz w:val="20"/>
                <w:szCs w:val="20"/>
              </w:rPr>
              <w:t xml:space="preserve">SOM Piret Eelmets ja Tarmo </w:t>
            </w:r>
            <w:proofErr w:type="spellStart"/>
            <w:r w:rsidRPr="003A3D94">
              <w:rPr>
                <w:rFonts w:ascii="Times New Roman" w:hAnsi="Times New Roman" w:cs="Times New Roman"/>
                <w:sz w:val="20"/>
                <w:szCs w:val="20"/>
              </w:rPr>
              <w:t>Kurves</w:t>
            </w:r>
            <w:proofErr w:type="spellEnd"/>
          </w:p>
        </w:tc>
        <w:tc>
          <w:tcPr>
            <w:tcW w:w="1276" w:type="dxa"/>
          </w:tcPr>
          <w:p w14:paraId="219C674F" w14:textId="3B689168" w:rsidR="00AB25BA" w:rsidRPr="003A3D94" w:rsidRDefault="00D522A1" w:rsidP="00A409E0">
            <w:pPr>
              <w:rPr>
                <w:rFonts w:ascii="Times New Roman" w:hAnsi="Times New Roman" w:cs="Times New Roman"/>
                <w:sz w:val="20"/>
                <w:szCs w:val="20"/>
              </w:rPr>
            </w:pPr>
            <w:r w:rsidRPr="003A3D94">
              <w:rPr>
                <w:rFonts w:ascii="Times New Roman" w:hAnsi="Times New Roman" w:cs="Times New Roman"/>
                <w:sz w:val="20"/>
                <w:szCs w:val="20"/>
              </w:rPr>
              <w:t>§ 5 lg 2 p 2</w:t>
            </w:r>
          </w:p>
        </w:tc>
        <w:tc>
          <w:tcPr>
            <w:tcW w:w="3686" w:type="dxa"/>
          </w:tcPr>
          <w:p w14:paraId="6D85CBA0" w14:textId="77777777" w:rsidR="00756610" w:rsidRPr="003A3D94" w:rsidRDefault="00756610" w:rsidP="00756610">
            <w:pPr>
              <w:ind w:right="6"/>
              <w:rPr>
                <w:rFonts w:ascii="Times New Roman" w:hAnsi="Times New Roman" w:cs="Times New Roman"/>
                <w:sz w:val="20"/>
                <w:szCs w:val="20"/>
              </w:rPr>
            </w:pPr>
            <w:r w:rsidRPr="003A3D94">
              <w:rPr>
                <w:rFonts w:ascii="Times New Roman" w:hAnsi="Times New Roman" w:cs="Times New Roman"/>
                <w:b/>
                <w:bCs/>
                <w:sz w:val="20"/>
                <w:szCs w:val="20"/>
              </w:rPr>
              <w:t xml:space="preserve">9) </w:t>
            </w:r>
            <w:r w:rsidRPr="003A3D94">
              <w:rPr>
                <w:rFonts w:ascii="Times New Roman" w:hAnsi="Times New Roman" w:cs="Times New Roman"/>
                <w:sz w:val="20"/>
                <w:szCs w:val="20"/>
              </w:rPr>
              <w:t>paragrahvi 5 lõike 2 punkt 2 sõnastatakse järgmiselt:</w:t>
            </w:r>
          </w:p>
          <w:p w14:paraId="40E1A70C" w14:textId="77777777" w:rsidR="00756610" w:rsidRPr="003A3D94" w:rsidRDefault="00756610" w:rsidP="00756610">
            <w:pPr>
              <w:ind w:right="6"/>
              <w:rPr>
                <w:rFonts w:ascii="Times New Roman" w:hAnsi="Times New Roman" w:cs="Times New Roman"/>
                <w:sz w:val="20"/>
                <w:szCs w:val="20"/>
              </w:rPr>
            </w:pPr>
            <w:r w:rsidRPr="003A3D94">
              <w:rPr>
                <w:rFonts w:ascii="Times New Roman" w:hAnsi="Times New Roman" w:cs="Times New Roman"/>
                <w:sz w:val="20"/>
                <w:szCs w:val="20"/>
              </w:rPr>
              <w:t>„2)</w:t>
            </w:r>
            <w:bookmarkStart w:id="0" w:name="_Hlk167276125"/>
            <w:r w:rsidRPr="003A3D94">
              <w:rPr>
                <w:rFonts w:ascii="Times New Roman" w:hAnsi="Times New Roman" w:cs="Times New Roman"/>
                <w:sz w:val="20"/>
                <w:szCs w:val="20"/>
              </w:rPr>
              <w:t xml:space="preserve"> avalike teenuste arendustegevuse kulud, sealhulgas tervikliku teenuste osutamise arengukava ja tegevuskava koostamise, sihtgrupi ootusi täpsustava turu-uuringu läbiviimise,  e-teenuse arenduse, mobiilse teenus loomise, digitaalse mooduli kavandamise, kasutajaliidese ja muu infotehnoloogilise lahenduse kulud, kodulehe loomise, visuaalse identiteedi loomise, kasutajasõbraliku ja </w:t>
            </w:r>
            <w:r w:rsidRPr="003A3D94">
              <w:rPr>
                <w:rFonts w:ascii="Times New Roman" w:hAnsi="Times New Roman" w:cs="Times New Roman"/>
                <w:b/>
                <w:bCs/>
                <w:sz w:val="20"/>
                <w:szCs w:val="20"/>
              </w:rPr>
              <w:t>universaalse disaini põhimõtteid</w:t>
            </w:r>
            <w:r w:rsidRPr="003A3D94">
              <w:rPr>
                <w:rFonts w:ascii="Times New Roman" w:hAnsi="Times New Roman" w:cs="Times New Roman"/>
                <w:sz w:val="20"/>
                <w:szCs w:val="20"/>
              </w:rPr>
              <w:t xml:space="preserve"> </w:t>
            </w:r>
            <w:r w:rsidRPr="003A3D94">
              <w:rPr>
                <w:rFonts w:ascii="Times New Roman" w:hAnsi="Times New Roman" w:cs="Times New Roman"/>
                <w:b/>
                <w:bCs/>
                <w:sz w:val="20"/>
                <w:szCs w:val="20"/>
              </w:rPr>
              <w:t>järgiva</w:t>
            </w:r>
            <w:r w:rsidRPr="003A3D94">
              <w:rPr>
                <w:rFonts w:ascii="Times New Roman" w:hAnsi="Times New Roman" w:cs="Times New Roman"/>
                <w:sz w:val="20"/>
                <w:szCs w:val="20"/>
              </w:rPr>
              <w:t xml:space="preserve"> </w:t>
            </w:r>
            <w:r w:rsidRPr="003A3D94">
              <w:rPr>
                <w:rFonts w:ascii="Times New Roman" w:hAnsi="Times New Roman" w:cs="Times New Roman"/>
                <w:strike/>
                <w:sz w:val="20"/>
                <w:szCs w:val="20"/>
              </w:rPr>
              <w:t>puuetega inimestele</w:t>
            </w:r>
            <w:r w:rsidRPr="003A3D94">
              <w:rPr>
                <w:rFonts w:ascii="Times New Roman" w:hAnsi="Times New Roman" w:cs="Times New Roman"/>
                <w:sz w:val="20"/>
                <w:szCs w:val="20"/>
              </w:rPr>
              <w:t xml:space="preserve"> </w:t>
            </w:r>
            <w:r w:rsidRPr="003A3D94">
              <w:rPr>
                <w:rFonts w:ascii="Times New Roman" w:hAnsi="Times New Roman" w:cs="Times New Roman"/>
                <w:strike/>
                <w:sz w:val="20"/>
                <w:szCs w:val="20"/>
              </w:rPr>
              <w:t>ligipääsetavaust tagava</w:t>
            </w:r>
            <w:r w:rsidRPr="003A3D94">
              <w:rPr>
                <w:rFonts w:ascii="Times New Roman" w:hAnsi="Times New Roman" w:cs="Times New Roman"/>
                <w:sz w:val="20"/>
                <w:szCs w:val="20"/>
              </w:rPr>
              <w:t xml:space="preserve"> veebiarenduse kulud</w:t>
            </w:r>
            <w:bookmarkEnd w:id="0"/>
            <w:r w:rsidRPr="003A3D94">
              <w:rPr>
                <w:rFonts w:ascii="Times New Roman" w:hAnsi="Times New Roman" w:cs="Times New Roman"/>
                <w:sz w:val="20"/>
                <w:szCs w:val="20"/>
              </w:rPr>
              <w:t>;“;</w:t>
            </w:r>
          </w:p>
          <w:p w14:paraId="2BD23CD2" w14:textId="77777777" w:rsidR="00756610" w:rsidRPr="003A3D94" w:rsidRDefault="00756610" w:rsidP="00756610">
            <w:pPr>
              <w:ind w:right="6"/>
              <w:rPr>
                <w:rFonts w:ascii="Times New Roman" w:hAnsi="Times New Roman" w:cs="Times New Roman"/>
                <w:sz w:val="20"/>
                <w:szCs w:val="20"/>
              </w:rPr>
            </w:pPr>
          </w:p>
          <w:p w14:paraId="083416BF" w14:textId="2F548D8F" w:rsidR="00AB25BA" w:rsidRPr="003A3D94" w:rsidRDefault="00AB25BA" w:rsidP="00D522A1">
            <w:pPr>
              <w:rPr>
                <w:rFonts w:ascii="Times New Roman" w:hAnsi="Times New Roman" w:cs="Times New Roman"/>
                <w:sz w:val="20"/>
                <w:szCs w:val="20"/>
              </w:rPr>
            </w:pPr>
          </w:p>
        </w:tc>
        <w:tc>
          <w:tcPr>
            <w:tcW w:w="3685" w:type="dxa"/>
          </w:tcPr>
          <w:p w14:paraId="51595715" w14:textId="21B9FABF" w:rsidR="00AB25BA" w:rsidRPr="003A3D94" w:rsidRDefault="00D522A1" w:rsidP="00A409E0">
            <w:pPr>
              <w:rPr>
                <w:rFonts w:ascii="Times New Roman" w:hAnsi="Times New Roman" w:cs="Times New Roman"/>
                <w:sz w:val="20"/>
                <w:szCs w:val="20"/>
              </w:rPr>
            </w:pPr>
            <w:r w:rsidRPr="003A3D94">
              <w:rPr>
                <w:rFonts w:ascii="Times New Roman" w:hAnsi="Times New Roman" w:cs="Times New Roman"/>
                <w:sz w:val="20"/>
                <w:szCs w:val="20"/>
              </w:rPr>
              <w:t>Ligipääsetavus on esimene samm, et muuta ühiskonda kättesaadavaks erivajadustega inimestele. Sellest järgmine samm on </w:t>
            </w:r>
            <w:r w:rsidRPr="003A3D94">
              <w:rPr>
                <w:rFonts w:ascii="Times New Roman" w:hAnsi="Times New Roman" w:cs="Times New Roman"/>
                <w:b/>
                <w:bCs/>
                <w:sz w:val="20"/>
                <w:szCs w:val="20"/>
              </w:rPr>
              <w:t>universaalne disain (UD)</w:t>
            </w:r>
            <w:r w:rsidRPr="003A3D94">
              <w:rPr>
                <w:rFonts w:ascii="Times New Roman" w:hAnsi="Times New Roman" w:cs="Times New Roman"/>
                <w:sz w:val="20"/>
                <w:szCs w:val="20"/>
              </w:rPr>
              <w:t>, mis eos tagab selle, et keskkond oleks kasutajasõbralik kõigile - ilma erilahendusi või kohandusi rakendamata.</w:t>
            </w:r>
          </w:p>
        </w:tc>
        <w:tc>
          <w:tcPr>
            <w:tcW w:w="3649" w:type="dxa"/>
          </w:tcPr>
          <w:p w14:paraId="6B6E9538" w14:textId="6FE83E3F" w:rsidR="00AB25BA" w:rsidRPr="003A3D94" w:rsidRDefault="00E22A88" w:rsidP="00A409E0">
            <w:pPr>
              <w:rPr>
                <w:rFonts w:ascii="Times New Roman" w:hAnsi="Times New Roman" w:cs="Times New Roman"/>
                <w:sz w:val="20"/>
                <w:szCs w:val="20"/>
              </w:rPr>
            </w:pPr>
            <w:r w:rsidRPr="003A3D94">
              <w:rPr>
                <w:rFonts w:ascii="Times New Roman" w:hAnsi="Times New Roman" w:cs="Times New Roman"/>
                <w:sz w:val="20"/>
                <w:szCs w:val="20"/>
              </w:rPr>
              <w:t>Arvestatud.</w:t>
            </w:r>
          </w:p>
        </w:tc>
      </w:tr>
      <w:tr w:rsidR="00AB25BA" w:rsidRPr="003A3D94" w14:paraId="6340540B" w14:textId="77777777" w:rsidTr="003A3D94">
        <w:tc>
          <w:tcPr>
            <w:tcW w:w="689" w:type="dxa"/>
          </w:tcPr>
          <w:p w14:paraId="47FD78BF" w14:textId="77777777"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2</w:t>
            </w:r>
          </w:p>
        </w:tc>
        <w:tc>
          <w:tcPr>
            <w:tcW w:w="1007" w:type="dxa"/>
          </w:tcPr>
          <w:p w14:paraId="620E11C0" w14:textId="344AFF82" w:rsidR="00AB25BA" w:rsidRPr="003A3D94" w:rsidRDefault="00D522A1" w:rsidP="00A409E0">
            <w:pPr>
              <w:rPr>
                <w:rFonts w:ascii="Times New Roman" w:hAnsi="Times New Roman" w:cs="Times New Roman"/>
                <w:sz w:val="20"/>
                <w:szCs w:val="20"/>
              </w:rPr>
            </w:pPr>
            <w:r w:rsidRPr="003A3D94">
              <w:rPr>
                <w:rFonts w:ascii="Times New Roman" w:hAnsi="Times New Roman" w:cs="Times New Roman"/>
                <w:sz w:val="20"/>
                <w:szCs w:val="20"/>
              </w:rPr>
              <w:t xml:space="preserve">SOM Piret Eelmets ja Tarmo </w:t>
            </w:r>
            <w:proofErr w:type="spellStart"/>
            <w:r w:rsidRPr="003A3D94">
              <w:rPr>
                <w:rFonts w:ascii="Times New Roman" w:hAnsi="Times New Roman" w:cs="Times New Roman"/>
                <w:sz w:val="20"/>
                <w:szCs w:val="20"/>
              </w:rPr>
              <w:t>Kurves</w:t>
            </w:r>
            <w:proofErr w:type="spellEnd"/>
          </w:p>
        </w:tc>
        <w:tc>
          <w:tcPr>
            <w:tcW w:w="1276" w:type="dxa"/>
          </w:tcPr>
          <w:p w14:paraId="50CBCED6" w14:textId="032DA427" w:rsidR="00AB25BA" w:rsidRPr="003A3D94" w:rsidRDefault="00D522A1" w:rsidP="00A409E0">
            <w:pPr>
              <w:rPr>
                <w:rFonts w:ascii="Times New Roman" w:hAnsi="Times New Roman" w:cs="Times New Roman"/>
                <w:sz w:val="20"/>
                <w:szCs w:val="20"/>
              </w:rPr>
            </w:pPr>
            <w:r w:rsidRPr="003A3D94">
              <w:rPr>
                <w:rFonts w:ascii="Times New Roman" w:hAnsi="Times New Roman" w:cs="Times New Roman"/>
                <w:sz w:val="20"/>
                <w:szCs w:val="20"/>
              </w:rPr>
              <w:t>§ 5 lg 2 p 3</w:t>
            </w:r>
          </w:p>
        </w:tc>
        <w:tc>
          <w:tcPr>
            <w:tcW w:w="3686" w:type="dxa"/>
          </w:tcPr>
          <w:p w14:paraId="5D17EF82" w14:textId="77777777" w:rsidR="00756610" w:rsidRPr="003A3D94" w:rsidRDefault="00756610" w:rsidP="00756610">
            <w:pPr>
              <w:ind w:right="6"/>
              <w:rPr>
                <w:rFonts w:ascii="Times New Roman" w:hAnsi="Times New Roman" w:cs="Times New Roman"/>
                <w:sz w:val="20"/>
                <w:szCs w:val="20"/>
              </w:rPr>
            </w:pPr>
            <w:r w:rsidRPr="003A3D94">
              <w:rPr>
                <w:rFonts w:ascii="Times New Roman" w:hAnsi="Times New Roman" w:cs="Times New Roman"/>
                <w:b/>
                <w:bCs/>
                <w:sz w:val="20"/>
                <w:szCs w:val="20"/>
              </w:rPr>
              <w:t>11)</w:t>
            </w:r>
            <w:r w:rsidRPr="003A3D94">
              <w:rPr>
                <w:rFonts w:ascii="Times New Roman" w:hAnsi="Times New Roman" w:cs="Times New Roman"/>
                <w:sz w:val="20"/>
                <w:szCs w:val="20"/>
              </w:rPr>
              <w:t xml:space="preserve"> paragrahvi 5 lõike 2 punkt 3 sõnastatakse järgmiselt:</w:t>
            </w:r>
          </w:p>
          <w:p w14:paraId="7A4C2CC8" w14:textId="77777777" w:rsidR="00756610" w:rsidRPr="003A3D94" w:rsidRDefault="00756610" w:rsidP="00756610">
            <w:pPr>
              <w:ind w:right="6"/>
              <w:rPr>
                <w:rFonts w:ascii="Times New Roman" w:hAnsi="Times New Roman" w:cs="Times New Roman"/>
                <w:sz w:val="20"/>
                <w:szCs w:val="20"/>
              </w:rPr>
            </w:pPr>
            <w:r w:rsidRPr="003A3D94">
              <w:rPr>
                <w:rFonts w:ascii="Times New Roman" w:hAnsi="Times New Roman" w:cs="Times New Roman"/>
                <w:sz w:val="20"/>
                <w:szCs w:val="20"/>
              </w:rPr>
              <w:t xml:space="preserve">„3) avalike teenuste investeeringutega seotud kulud, sealhulgas seadmete ja inventari soetamise, ehitamise, </w:t>
            </w:r>
            <w:r w:rsidRPr="003A3D94">
              <w:rPr>
                <w:rFonts w:ascii="Times New Roman" w:hAnsi="Times New Roman" w:cs="Times New Roman"/>
                <w:strike/>
                <w:sz w:val="20"/>
                <w:szCs w:val="20"/>
              </w:rPr>
              <w:t>puuetega inimestele</w:t>
            </w:r>
            <w:r w:rsidRPr="003A3D94">
              <w:rPr>
                <w:rFonts w:ascii="Times New Roman" w:hAnsi="Times New Roman" w:cs="Times New Roman"/>
                <w:sz w:val="20"/>
                <w:szCs w:val="20"/>
              </w:rPr>
              <w:t xml:space="preserve"> </w:t>
            </w:r>
            <w:r w:rsidRPr="003A3D94">
              <w:rPr>
                <w:rFonts w:ascii="Times New Roman" w:hAnsi="Times New Roman" w:cs="Times New Roman"/>
                <w:b/>
                <w:bCs/>
                <w:sz w:val="20"/>
                <w:szCs w:val="20"/>
              </w:rPr>
              <w:t>rajatava keskkonna</w:t>
            </w:r>
            <w:r w:rsidRPr="003A3D94">
              <w:rPr>
                <w:rFonts w:ascii="Times New Roman" w:hAnsi="Times New Roman" w:cs="Times New Roman"/>
                <w:sz w:val="20"/>
                <w:szCs w:val="20"/>
              </w:rPr>
              <w:t xml:space="preserve"> ligipääsetavuse tagamise kulud;“;</w:t>
            </w:r>
          </w:p>
          <w:p w14:paraId="35CACAA6" w14:textId="6D2572A7" w:rsidR="00AB25BA" w:rsidRPr="003A3D94" w:rsidRDefault="00AB25BA" w:rsidP="00D522A1">
            <w:pPr>
              <w:rPr>
                <w:rFonts w:ascii="Times New Roman" w:hAnsi="Times New Roman" w:cs="Times New Roman"/>
                <w:sz w:val="20"/>
                <w:szCs w:val="20"/>
              </w:rPr>
            </w:pPr>
          </w:p>
        </w:tc>
        <w:tc>
          <w:tcPr>
            <w:tcW w:w="3685" w:type="dxa"/>
          </w:tcPr>
          <w:p w14:paraId="3FCD1327" w14:textId="4B490BCA" w:rsidR="00AB25BA" w:rsidRPr="003A3D94" w:rsidRDefault="00D522A1" w:rsidP="00A409E0">
            <w:pPr>
              <w:rPr>
                <w:rFonts w:ascii="Times New Roman" w:hAnsi="Times New Roman" w:cs="Times New Roman"/>
                <w:sz w:val="20"/>
                <w:szCs w:val="20"/>
              </w:rPr>
            </w:pPr>
            <w:r w:rsidRPr="003A3D94">
              <w:rPr>
                <w:rFonts w:ascii="Times New Roman" w:hAnsi="Times New Roman" w:cs="Times New Roman"/>
                <w:sz w:val="20"/>
                <w:szCs w:val="20"/>
              </w:rPr>
              <w:t>Iga uue algatuse puhul tuleb </w:t>
            </w:r>
            <w:r w:rsidRPr="003A3D94">
              <w:rPr>
                <w:rFonts w:ascii="Times New Roman" w:hAnsi="Times New Roman" w:cs="Times New Roman"/>
                <w:b/>
                <w:bCs/>
                <w:sz w:val="20"/>
                <w:szCs w:val="20"/>
              </w:rPr>
              <w:t>kohe projekti algfaasis</w:t>
            </w:r>
            <w:r w:rsidRPr="003A3D94">
              <w:rPr>
                <w:rFonts w:ascii="Times New Roman" w:hAnsi="Times New Roman" w:cs="Times New Roman"/>
                <w:sz w:val="20"/>
                <w:szCs w:val="20"/>
              </w:rPr>
              <w:t xml:space="preserve"> läbi mõelda, kuidas hakkavad keskkonda kasutama või </w:t>
            </w:r>
            <w:proofErr w:type="spellStart"/>
            <w:r w:rsidRPr="003A3D94">
              <w:rPr>
                <w:rFonts w:ascii="Times New Roman" w:hAnsi="Times New Roman" w:cs="Times New Roman"/>
                <w:sz w:val="20"/>
                <w:szCs w:val="20"/>
              </w:rPr>
              <w:t>inforväljas</w:t>
            </w:r>
            <w:proofErr w:type="spellEnd"/>
            <w:r w:rsidRPr="003A3D94">
              <w:rPr>
                <w:rFonts w:ascii="Times New Roman" w:hAnsi="Times New Roman" w:cs="Times New Roman"/>
                <w:sz w:val="20"/>
                <w:szCs w:val="20"/>
              </w:rPr>
              <w:t xml:space="preserve"> orienteeruma erinevad kasutajad nagu lapsed, eakad, ajutise liikumisraskusega inimesed.  Ligipääsetavus ei ole seotud puudega, seda tulev vaadelda laiemalt.</w:t>
            </w:r>
          </w:p>
        </w:tc>
        <w:tc>
          <w:tcPr>
            <w:tcW w:w="3649" w:type="dxa"/>
          </w:tcPr>
          <w:p w14:paraId="396498A2" w14:textId="58B6480E" w:rsidR="00AB25BA" w:rsidRPr="003A3D94" w:rsidRDefault="00E22A88" w:rsidP="00A409E0">
            <w:pPr>
              <w:rPr>
                <w:rFonts w:ascii="Times New Roman" w:hAnsi="Times New Roman" w:cs="Times New Roman"/>
                <w:sz w:val="20"/>
                <w:szCs w:val="20"/>
              </w:rPr>
            </w:pPr>
            <w:r w:rsidRPr="003A3D94">
              <w:rPr>
                <w:rFonts w:ascii="Times New Roman" w:hAnsi="Times New Roman" w:cs="Times New Roman"/>
                <w:sz w:val="20"/>
                <w:szCs w:val="20"/>
              </w:rPr>
              <w:t>Arvestatud.</w:t>
            </w:r>
          </w:p>
        </w:tc>
      </w:tr>
      <w:tr w:rsidR="0026787C" w:rsidRPr="003A3D94" w14:paraId="2C316B14" w14:textId="77777777" w:rsidTr="003A3D94">
        <w:tc>
          <w:tcPr>
            <w:tcW w:w="689" w:type="dxa"/>
          </w:tcPr>
          <w:p w14:paraId="416DF3E2" w14:textId="77777777" w:rsidR="0026787C" w:rsidRPr="003A3D94" w:rsidRDefault="0026787C" w:rsidP="00A409E0">
            <w:pPr>
              <w:rPr>
                <w:rFonts w:ascii="Times New Roman" w:hAnsi="Times New Roman" w:cs="Times New Roman"/>
                <w:sz w:val="20"/>
                <w:szCs w:val="20"/>
              </w:rPr>
            </w:pPr>
          </w:p>
        </w:tc>
        <w:tc>
          <w:tcPr>
            <w:tcW w:w="1007" w:type="dxa"/>
          </w:tcPr>
          <w:p w14:paraId="3231EE28" w14:textId="5906F6AF" w:rsidR="0026787C" w:rsidRPr="003A3D94" w:rsidRDefault="0026787C" w:rsidP="00A409E0">
            <w:pPr>
              <w:rPr>
                <w:rFonts w:ascii="Times New Roman" w:hAnsi="Times New Roman" w:cs="Times New Roman"/>
                <w:sz w:val="20"/>
                <w:szCs w:val="20"/>
              </w:rPr>
            </w:pPr>
            <w:r w:rsidRPr="003A3D94">
              <w:rPr>
                <w:rFonts w:ascii="Times New Roman" w:hAnsi="Times New Roman" w:cs="Times New Roman"/>
                <w:sz w:val="20"/>
                <w:szCs w:val="20"/>
              </w:rPr>
              <w:t>MKM Liivi Pehk</w:t>
            </w:r>
          </w:p>
        </w:tc>
        <w:tc>
          <w:tcPr>
            <w:tcW w:w="1276" w:type="dxa"/>
          </w:tcPr>
          <w:p w14:paraId="408A5231" w14:textId="77777777" w:rsidR="0026787C" w:rsidRPr="003A3D94" w:rsidRDefault="0026787C" w:rsidP="00A409E0">
            <w:pPr>
              <w:rPr>
                <w:rFonts w:ascii="Times New Roman" w:hAnsi="Times New Roman" w:cs="Times New Roman"/>
                <w:sz w:val="20"/>
                <w:szCs w:val="20"/>
              </w:rPr>
            </w:pPr>
          </w:p>
        </w:tc>
        <w:tc>
          <w:tcPr>
            <w:tcW w:w="3686" w:type="dxa"/>
          </w:tcPr>
          <w:p w14:paraId="157FFD97" w14:textId="77777777" w:rsidR="0026787C" w:rsidRPr="003A3D94" w:rsidRDefault="0026787C" w:rsidP="00972B43">
            <w:pPr>
              <w:ind w:right="6"/>
              <w:rPr>
                <w:rFonts w:ascii="Times New Roman" w:hAnsi="Times New Roman" w:cs="Times New Roman"/>
                <w:sz w:val="20"/>
                <w:szCs w:val="20"/>
              </w:rPr>
            </w:pPr>
          </w:p>
        </w:tc>
        <w:tc>
          <w:tcPr>
            <w:tcW w:w="3685" w:type="dxa"/>
          </w:tcPr>
          <w:p w14:paraId="6A3050E3" w14:textId="690296B0" w:rsidR="0026787C" w:rsidRPr="003A3D94" w:rsidRDefault="0026787C" w:rsidP="00482373">
            <w:pPr>
              <w:pStyle w:val="pf0"/>
              <w:rPr>
                <w:sz w:val="20"/>
                <w:szCs w:val="20"/>
              </w:rPr>
            </w:pPr>
            <w:r w:rsidRPr="003A3D94">
              <w:rPr>
                <w:rStyle w:val="cf01"/>
                <w:rFonts w:ascii="Times New Roman" w:eastAsiaTheme="majorEastAsia" w:hAnsi="Times New Roman" w:cs="Times New Roman"/>
                <w:sz w:val="20"/>
                <w:szCs w:val="20"/>
              </w:rPr>
              <w:t xml:space="preserve">Ühendmääruse kohaselt tuleb hindamismetoodika kooskõlastada ka rakendusasutusega, kes nõustab riigi pikaajalises arengustrateegias kinnitatud strateegilistesse sihtidesse ja aluspõhimõtetesse panustamist vastavalt oma vastutusvaldkonnale. Palume saata hindamismetoodika kooskõlastamiseks ka Majandus- ja </w:t>
            </w:r>
            <w:r w:rsidRPr="003A3D94">
              <w:rPr>
                <w:rStyle w:val="cf01"/>
                <w:rFonts w:ascii="Times New Roman" w:eastAsiaTheme="majorEastAsia" w:hAnsi="Times New Roman" w:cs="Times New Roman"/>
                <w:sz w:val="20"/>
                <w:szCs w:val="20"/>
              </w:rPr>
              <w:lastRenderedPageBreak/>
              <w:t xml:space="preserve">kommunikatsiooniministeeriumi võrdõiguslikkuse kompetentsikeskusele. </w:t>
            </w:r>
          </w:p>
        </w:tc>
        <w:tc>
          <w:tcPr>
            <w:tcW w:w="3649" w:type="dxa"/>
          </w:tcPr>
          <w:p w14:paraId="5A9BF5CC" w14:textId="755EF572" w:rsidR="0026787C" w:rsidRPr="003A3D94" w:rsidRDefault="0026787C" w:rsidP="0026787C">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Selgitatud. Meetme rakendusasutus konsulteerib enne kooskõlastuse andmist rakendusasutustega, kes nõustavad riigi pikaajalises arengustrateegias kinnitatud strateegilistesse sihtidesse ja aluspõhimõtetesse panustamist vastavalt oma vastutusvaldkonnale, kui vastav rakendusasutus on selleks eelnõu kooskõlastusprotsessis soovi avaldanud </w:t>
            </w:r>
            <w:r w:rsidRPr="003A3D94">
              <w:rPr>
                <w:rFonts w:ascii="Times New Roman" w:hAnsi="Times New Roman" w:cs="Times New Roman"/>
                <w:sz w:val="20"/>
                <w:szCs w:val="20"/>
              </w:rPr>
              <w:lastRenderedPageBreak/>
              <w:t xml:space="preserve">(valikukriteeriumid ja -metoodika on määruses kirjeldatud piisavalt detailselt, et lugeda ühendmääruse § 48 lõike 1 punkt täidetuks määruse eelnõu kooskõlastamise protsessi osana). Juhul kui enne II taotlusvooru uuendatakse hindamismetoodikat, esitame selle ka </w:t>
            </w:r>
            <w:proofErr w:type="spellStart"/>
            <w:r w:rsidRPr="003A3D94">
              <w:rPr>
                <w:rFonts w:ascii="Times New Roman" w:hAnsi="Times New Roman" w:cs="Times New Roman"/>
                <w:sz w:val="20"/>
                <w:szCs w:val="20"/>
              </w:rPr>
              <w:t>MKMile</w:t>
            </w:r>
            <w:proofErr w:type="spellEnd"/>
            <w:r w:rsidRPr="003A3D94">
              <w:rPr>
                <w:rFonts w:ascii="Times New Roman" w:hAnsi="Times New Roman" w:cs="Times New Roman"/>
                <w:sz w:val="20"/>
                <w:szCs w:val="20"/>
              </w:rPr>
              <w:t>.</w:t>
            </w:r>
          </w:p>
        </w:tc>
      </w:tr>
      <w:tr w:rsidR="00972B43" w:rsidRPr="003A3D94" w14:paraId="5E70F04C" w14:textId="77777777" w:rsidTr="003A3D94">
        <w:tc>
          <w:tcPr>
            <w:tcW w:w="689" w:type="dxa"/>
          </w:tcPr>
          <w:p w14:paraId="62DB7759" w14:textId="77777777" w:rsidR="00972B43" w:rsidRPr="003A3D94" w:rsidRDefault="00972B43" w:rsidP="00A409E0">
            <w:pPr>
              <w:rPr>
                <w:rFonts w:ascii="Times New Roman" w:hAnsi="Times New Roman" w:cs="Times New Roman"/>
                <w:sz w:val="20"/>
                <w:szCs w:val="20"/>
              </w:rPr>
            </w:pPr>
          </w:p>
        </w:tc>
        <w:tc>
          <w:tcPr>
            <w:tcW w:w="1007" w:type="dxa"/>
          </w:tcPr>
          <w:p w14:paraId="187E81F4" w14:textId="2343D1A2" w:rsidR="00972B43" w:rsidRPr="003A3D94" w:rsidRDefault="00972B43" w:rsidP="00A409E0">
            <w:pPr>
              <w:rPr>
                <w:rFonts w:ascii="Times New Roman" w:hAnsi="Times New Roman" w:cs="Times New Roman"/>
                <w:sz w:val="20"/>
                <w:szCs w:val="20"/>
              </w:rPr>
            </w:pPr>
            <w:r w:rsidRPr="003A3D94">
              <w:rPr>
                <w:rFonts w:ascii="Times New Roman" w:hAnsi="Times New Roman" w:cs="Times New Roman"/>
                <w:sz w:val="20"/>
                <w:szCs w:val="20"/>
              </w:rPr>
              <w:t>RTK, Anneli Kimmel</w:t>
            </w:r>
          </w:p>
        </w:tc>
        <w:tc>
          <w:tcPr>
            <w:tcW w:w="1276" w:type="dxa"/>
          </w:tcPr>
          <w:p w14:paraId="484C2157" w14:textId="02E5739D" w:rsidR="00972B43" w:rsidRPr="003A3D94" w:rsidRDefault="00972B43" w:rsidP="00A409E0">
            <w:pPr>
              <w:rPr>
                <w:rFonts w:ascii="Times New Roman" w:hAnsi="Times New Roman" w:cs="Times New Roman"/>
                <w:sz w:val="20"/>
                <w:szCs w:val="20"/>
              </w:rPr>
            </w:pPr>
            <w:r w:rsidRPr="003A3D94">
              <w:rPr>
                <w:rFonts w:ascii="Times New Roman" w:hAnsi="Times New Roman" w:cs="Times New Roman"/>
                <w:sz w:val="20"/>
                <w:szCs w:val="20"/>
              </w:rPr>
              <w:t>§ 5 lg 7</w:t>
            </w:r>
          </w:p>
        </w:tc>
        <w:tc>
          <w:tcPr>
            <w:tcW w:w="3686" w:type="dxa"/>
          </w:tcPr>
          <w:p w14:paraId="4AFCB0F0" w14:textId="2D2BE58A" w:rsidR="00972B43" w:rsidRPr="003A3D94" w:rsidRDefault="00972B43" w:rsidP="00972B43">
            <w:pPr>
              <w:ind w:right="6"/>
              <w:rPr>
                <w:rFonts w:ascii="Times New Roman" w:hAnsi="Times New Roman" w:cs="Times New Roman"/>
                <w:sz w:val="20"/>
                <w:szCs w:val="20"/>
              </w:rPr>
            </w:pPr>
            <w:r w:rsidRPr="003A3D94">
              <w:rPr>
                <w:rFonts w:ascii="Times New Roman" w:hAnsi="Times New Roman" w:cs="Times New Roman"/>
                <w:sz w:val="20"/>
                <w:szCs w:val="20"/>
              </w:rPr>
              <w:t xml:space="preserve">§ 5 lg 7:  </w:t>
            </w:r>
            <w:bookmarkStart w:id="1" w:name="_Hlk168403156"/>
            <w:r w:rsidRPr="003A3D94">
              <w:rPr>
                <w:rFonts w:ascii="Times New Roman" w:hAnsi="Times New Roman" w:cs="Times New Roman"/>
                <w:sz w:val="20"/>
                <w:szCs w:val="20"/>
              </w:rPr>
              <w:t xml:space="preserve">Enne  taotluse  esitamist  on  lubatud  teha </w:t>
            </w:r>
            <w:bookmarkStart w:id="2" w:name="_Hlk167277138"/>
            <w:r w:rsidRPr="003A3D94">
              <w:rPr>
                <w:rFonts w:ascii="Times New Roman" w:hAnsi="Times New Roman" w:cs="Times New Roman"/>
                <w:sz w:val="20"/>
                <w:szCs w:val="20"/>
              </w:rPr>
              <w:t>lõike 2 punktides 2 kuni 2</w:t>
            </w:r>
            <w:r w:rsidRPr="003A3D94">
              <w:rPr>
                <w:rFonts w:ascii="Times New Roman" w:hAnsi="Times New Roman" w:cs="Times New Roman"/>
                <w:sz w:val="20"/>
                <w:szCs w:val="20"/>
                <w:vertAlign w:val="superscript"/>
              </w:rPr>
              <w:t xml:space="preserve">2 </w:t>
            </w:r>
            <w:r w:rsidRPr="003A3D94">
              <w:rPr>
                <w:rFonts w:ascii="Times New Roman" w:hAnsi="Times New Roman" w:cs="Times New Roman"/>
                <w:sz w:val="20"/>
                <w:szCs w:val="20"/>
              </w:rPr>
              <w:t xml:space="preserve">nimetatud avalike teenuste arendustegevuse, avalike teenuste disainimise või teadlikkuse tõstmisekulusid ja lõike 2 punktis 8 nimetatud projekti ettevalmistamiseks vajalikke </w:t>
            </w:r>
            <w:r w:rsidRPr="003A3D94">
              <w:rPr>
                <w:rFonts w:ascii="Times New Roman" w:hAnsi="Times New Roman" w:cs="Times New Roman"/>
                <w:sz w:val="20"/>
                <w:szCs w:val="20"/>
                <w:u w:val="single"/>
              </w:rPr>
              <w:t>personalikulusid</w:t>
            </w:r>
            <w:r w:rsidRPr="003A3D94">
              <w:rPr>
                <w:rFonts w:ascii="Times New Roman" w:hAnsi="Times New Roman" w:cs="Times New Roman"/>
                <w:sz w:val="20"/>
                <w:szCs w:val="20"/>
              </w:rPr>
              <w:t xml:space="preserve"> ning</w:t>
            </w:r>
            <w:bookmarkEnd w:id="2"/>
            <w:r w:rsidRPr="003A3D94">
              <w:rPr>
                <w:rFonts w:ascii="Times New Roman" w:hAnsi="Times New Roman" w:cs="Times New Roman"/>
                <w:sz w:val="20"/>
                <w:szCs w:val="20"/>
              </w:rPr>
              <w:t xml:space="preserve"> </w:t>
            </w:r>
            <w:bookmarkEnd w:id="1"/>
            <w:r w:rsidRPr="003A3D94">
              <w:rPr>
                <w:rFonts w:ascii="Times New Roman" w:hAnsi="Times New Roman" w:cs="Times New Roman"/>
                <w:sz w:val="20"/>
                <w:szCs w:val="20"/>
              </w:rPr>
              <w:t>ehitustööde  ettevalmistamisega  seotud kulusid,  mille  all  mõistetakse  energiaauditi,  ehitusliku  projekteerimise,  ehitusprojektide ekspertiisi,    sealhulgas    ligipääsetavuse    ekspertiisi,    ehitusmaksumuse    kalkulatsiooni koostamise, ehitusgeoloogiliste ja -geodeetilise uurimistöö tegemise, ehitusloa väljastamise, keskkonnamõjude    ja    kliimakindluse    hindamise    ning    muinsuskaitse    eritingimuste koostamisega seotud tegevuste kulusid.</w:t>
            </w:r>
          </w:p>
          <w:p w14:paraId="2BA7ED2F" w14:textId="77777777" w:rsidR="00972B43" w:rsidRPr="003A3D94" w:rsidRDefault="00972B43" w:rsidP="00756610">
            <w:pPr>
              <w:ind w:right="6"/>
              <w:rPr>
                <w:rFonts w:ascii="Times New Roman" w:hAnsi="Times New Roman" w:cs="Times New Roman"/>
                <w:sz w:val="20"/>
                <w:szCs w:val="20"/>
              </w:rPr>
            </w:pPr>
          </w:p>
        </w:tc>
        <w:tc>
          <w:tcPr>
            <w:tcW w:w="3685" w:type="dxa"/>
          </w:tcPr>
          <w:p w14:paraId="6DB44B54" w14:textId="77777777" w:rsidR="00972B43" w:rsidRPr="003A3D94" w:rsidRDefault="00972B43" w:rsidP="00972B43">
            <w:pPr>
              <w:rPr>
                <w:rFonts w:ascii="Times New Roman" w:hAnsi="Times New Roman" w:cs="Times New Roman"/>
                <w:sz w:val="20"/>
                <w:szCs w:val="20"/>
              </w:rPr>
            </w:pPr>
            <w:r w:rsidRPr="003A3D94">
              <w:rPr>
                <w:rFonts w:ascii="Times New Roman" w:hAnsi="Times New Roman" w:cs="Times New Roman"/>
                <w:sz w:val="20"/>
                <w:szCs w:val="20"/>
              </w:rPr>
              <w:t>Kas saan õigesti aru, et § 5 lõike 7 alusel rahastatavatelt projekti ettevalmistamisega seotud tegevuste otsestelt kuludelt kaudseid kulusid ei hüvitata?</w:t>
            </w:r>
          </w:p>
          <w:p w14:paraId="6442F119" w14:textId="77777777" w:rsidR="00972B43" w:rsidRPr="003A3D94" w:rsidRDefault="00972B43" w:rsidP="00A409E0">
            <w:pPr>
              <w:rPr>
                <w:rFonts w:ascii="Times New Roman" w:hAnsi="Times New Roman" w:cs="Times New Roman"/>
                <w:sz w:val="20"/>
                <w:szCs w:val="20"/>
              </w:rPr>
            </w:pPr>
          </w:p>
        </w:tc>
        <w:tc>
          <w:tcPr>
            <w:tcW w:w="3649" w:type="dxa"/>
          </w:tcPr>
          <w:p w14:paraId="772841CB" w14:textId="0DA53930" w:rsidR="00972B43" w:rsidRPr="003A3D94" w:rsidRDefault="00C9561B" w:rsidP="00A409E0">
            <w:pPr>
              <w:rPr>
                <w:rFonts w:ascii="Times New Roman" w:hAnsi="Times New Roman" w:cs="Times New Roman"/>
                <w:sz w:val="20"/>
                <w:szCs w:val="20"/>
              </w:rPr>
            </w:pPr>
            <w:r w:rsidRPr="003A3D94">
              <w:rPr>
                <w:rFonts w:ascii="Times New Roman" w:hAnsi="Times New Roman" w:cs="Times New Roman"/>
                <w:sz w:val="20"/>
                <w:szCs w:val="20"/>
              </w:rPr>
              <w:t>Selgitatud. Paragrahv 5 lg 7 täpsustab, milliseid kulusid on lubatud teha enne taotluse esitamist. Kaudseid kulusid on võimalik arvestada kõigilt projekti otsestelt kuludelt, arvestades riigiabi erisusi, sõltumata kulu tegemise ajast. Enne taotluse esitamist tehtud kuludega seotud kaudsed kulud hüvitatakse ühtse määra alusel esimese väljamaksega.</w:t>
            </w:r>
          </w:p>
        </w:tc>
      </w:tr>
      <w:tr w:rsidR="00AB25BA" w:rsidRPr="003A3D94" w14:paraId="5D4A31B1" w14:textId="77777777" w:rsidTr="003A3D94">
        <w:tc>
          <w:tcPr>
            <w:tcW w:w="689" w:type="dxa"/>
          </w:tcPr>
          <w:p w14:paraId="35E517FE" w14:textId="77777777"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3</w:t>
            </w:r>
          </w:p>
        </w:tc>
        <w:tc>
          <w:tcPr>
            <w:tcW w:w="1007" w:type="dxa"/>
          </w:tcPr>
          <w:p w14:paraId="30D637A0" w14:textId="48E14B89" w:rsidR="00AB25BA" w:rsidRPr="003A3D94" w:rsidRDefault="00D522A1" w:rsidP="00A409E0">
            <w:pPr>
              <w:rPr>
                <w:rFonts w:ascii="Times New Roman" w:hAnsi="Times New Roman" w:cs="Times New Roman"/>
                <w:sz w:val="20"/>
                <w:szCs w:val="20"/>
              </w:rPr>
            </w:pPr>
            <w:r w:rsidRPr="003A3D94">
              <w:rPr>
                <w:rFonts w:ascii="Times New Roman" w:hAnsi="Times New Roman" w:cs="Times New Roman"/>
                <w:sz w:val="20"/>
                <w:szCs w:val="20"/>
              </w:rPr>
              <w:t>Lüganuse vald</w:t>
            </w:r>
          </w:p>
        </w:tc>
        <w:tc>
          <w:tcPr>
            <w:tcW w:w="1276" w:type="dxa"/>
          </w:tcPr>
          <w:p w14:paraId="2520D27D" w14:textId="3C8F7CE6" w:rsidR="00AB25BA" w:rsidRPr="003A3D94" w:rsidRDefault="00523F84" w:rsidP="00A409E0">
            <w:pPr>
              <w:rPr>
                <w:rFonts w:ascii="Times New Roman" w:hAnsi="Times New Roman" w:cs="Times New Roman"/>
                <w:sz w:val="20"/>
                <w:szCs w:val="20"/>
              </w:rPr>
            </w:pPr>
            <w:r w:rsidRPr="003A3D94">
              <w:rPr>
                <w:rFonts w:ascii="Times New Roman" w:hAnsi="Times New Roman" w:cs="Times New Roman"/>
                <w:sz w:val="20"/>
                <w:szCs w:val="20"/>
              </w:rPr>
              <w:t>§</w:t>
            </w:r>
            <w:r w:rsidR="004D1098" w:rsidRPr="003A3D94">
              <w:rPr>
                <w:rFonts w:ascii="Times New Roman" w:hAnsi="Times New Roman" w:cs="Times New Roman"/>
                <w:sz w:val="20"/>
                <w:szCs w:val="20"/>
              </w:rPr>
              <w:t xml:space="preserve"> 4 lg 4 p </w:t>
            </w:r>
            <w:r w:rsidRPr="003A3D94">
              <w:rPr>
                <w:rFonts w:ascii="Times New Roman" w:hAnsi="Times New Roman" w:cs="Times New Roman"/>
                <w:sz w:val="20"/>
                <w:szCs w:val="20"/>
              </w:rPr>
              <w:t>10</w:t>
            </w:r>
          </w:p>
        </w:tc>
        <w:tc>
          <w:tcPr>
            <w:tcW w:w="3686" w:type="dxa"/>
          </w:tcPr>
          <w:p w14:paraId="40585930" w14:textId="77777777" w:rsidR="004D1098" w:rsidRPr="003A3D94" w:rsidRDefault="004D1098" w:rsidP="004D1098">
            <w:pPr>
              <w:rPr>
                <w:rFonts w:ascii="Times New Roman" w:eastAsiaTheme="minorHAnsi" w:hAnsi="Times New Roman" w:cs="Times New Roman"/>
                <w:sz w:val="20"/>
                <w:szCs w:val="20"/>
              </w:rPr>
            </w:pPr>
            <w:r w:rsidRPr="003A3D94">
              <w:rPr>
                <w:rFonts w:ascii="Times New Roman" w:hAnsi="Times New Roman" w:cs="Times New Roman"/>
                <w:sz w:val="20"/>
                <w:szCs w:val="20"/>
              </w:rPr>
              <w:t xml:space="preserve">Esimene pilk meetme muudatustele viib mind täiesti endast välja ühes asjas ja see on plaanitav muudatus § 4 lg 4 punkt (uus) 10, mille kohaselt ei anta toetust investeeringuteks </w:t>
            </w:r>
            <w:proofErr w:type="spellStart"/>
            <w:r w:rsidRPr="003A3D94">
              <w:rPr>
                <w:rFonts w:ascii="Times New Roman" w:hAnsi="Times New Roman" w:cs="Times New Roman"/>
                <w:sz w:val="20"/>
                <w:szCs w:val="20"/>
              </w:rPr>
              <w:t>üldhooldusteenuseks</w:t>
            </w:r>
            <w:proofErr w:type="spellEnd"/>
            <w:r w:rsidRPr="003A3D94">
              <w:rPr>
                <w:rFonts w:ascii="Times New Roman" w:hAnsi="Times New Roman" w:cs="Times New Roman"/>
                <w:sz w:val="20"/>
                <w:szCs w:val="20"/>
              </w:rPr>
              <w:t xml:space="preserve"> kavandatud taristusse. </w:t>
            </w:r>
          </w:p>
          <w:p w14:paraId="18626EE4" w14:textId="77777777" w:rsidR="004D1098" w:rsidRPr="003A3D94" w:rsidRDefault="004D1098" w:rsidP="004D1098">
            <w:pPr>
              <w:rPr>
                <w:rFonts w:ascii="Times New Roman" w:hAnsi="Times New Roman" w:cs="Times New Roman"/>
                <w:i/>
                <w:iCs/>
                <w:sz w:val="20"/>
                <w:szCs w:val="20"/>
              </w:rPr>
            </w:pPr>
            <w:r w:rsidRPr="003A3D94">
              <w:rPr>
                <w:rFonts w:ascii="Times New Roman" w:hAnsi="Times New Roman" w:cs="Times New Roman"/>
                <w:i/>
                <w:iCs/>
                <w:sz w:val="20"/>
                <w:szCs w:val="20"/>
              </w:rPr>
              <w:t xml:space="preserve">Eelnõust: 10) investeeringuks sotsiaalhoolekande seaduse 2. jao 2. jaotises nimetatud väljaspool kodu osutatava ööpäevaringse </w:t>
            </w:r>
            <w:proofErr w:type="spellStart"/>
            <w:r w:rsidRPr="003A3D94">
              <w:rPr>
                <w:rFonts w:ascii="Times New Roman" w:hAnsi="Times New Roman" w:cs="Times New Roman"/>
                <w:i/>
                <w:iCs/>
                <w:sz w:val="20"/>
                <w:szCs w:val="20"/>
              </w:rPr>
              <w:lastRenderedPageBreak/>
              <w:t>üldhooldusteenuse</w:t>
            </w:r>
            <w:proofErr w:type="spellEnd"/>
            <w:r w:rsidRPr="003A3D94">
              <w:rPr>
                <w:rFonts w:ascii="Times New Roman" w:hAnsi="Times New Roman" w:cs="Times New Roman"/>
                <w:i/>
                <w:iCs/>
                <w:sz w:val="20"/>
                <w:szCs w:val="20"/>
              </w:rPr>
              <w:t xml:space="preserve"> osutamise taristusse ja 3. jao 6. jaotises nimetatud ööpäevaringse erihooldusteenuse osutamise taristusse.</w:t>
            </w:r>
          </w:p>
          <w:p w14:paraId="1344DC40" w14:textId="77777777" w:rsidR="004D1098" w:rsidRPr="003A3D94" w:rsidRDefault="004D1098" w:rsidP="004D1098">
            <w:pPr>
              <w:rPr>
                <w:rFonts w:ascii="Times New Roman" w:hAnsi="Times New Roman" w:cs="Times New Roman"/>
                <w:sz w:val="20"/>
                <w:szCs w:val="20"/>
              </w:rPr>
            </w:pPr>
          </w:p>
          <w:p w14:paraId="53C2384C"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t xml:space="preserve">Absoluutselt ei saa aru, kuidas saab ja miks on vaja tuua olemasolevasse meetme määrusesse, milles on juba olnud 1. voor,  sisse kitsendused, mida ei olnud sees kehtivas määruses (Vastu võetud 08.03.2023 nr 14). </w:t>
            </w:r>
          </w:p>
          <w:p w14:paraId="5CF6AC86"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t xml:space="preserve">Määrus sellisel kujul ju alles aasta tagasi ometi sobis kokku seletuskirjas viidatud </w:t>
            </w:r>
            <w:proofErr w:type="spellStart"/>
            <w:r w:rsidRPr="003A3D94">
              <w:rPr>
                <w:rFonts w:ascii="Times New Roman" w:hAnsi="Times New Roman" w:cs="Times New Roman"/>
                <w:sz w:val="20"/>
                <w:szCs w:val="20"/>
              </w:rPr>
              <w:t>ühissätete</w:t>
            </w:r>
            <w:proofErr w:type="spellEnd"/>
            <w:r w:rsidRPr="003A3D94">
              <w:rPr>
                <w:rFonts w:ascii="Times New Roman" w:hAnsi="Times New Roman" w:cs="Times New Roman"/>
                <w:sz w:val="20"/>
                <w:szCs w:val="20"/>
              </w:rPr>
              <w:t xml:space="preserve"> määruse (ÜSM) art 9 punktis 1 viidatud Euroopa Liidu põhiõiguste harta artiklile 25, mille kohaselt </w:t>
            </w:r>
            <w:proofErr w:type="spellStart"/>
            <w:r w:rsidRPr="003A3D94">
              <w:rPr>
                <w:rFonts w:ascii="Times New Roman" w:hAnsi="Times New Roman" w:cs="Times New Roman"/>
                <w:sz w:val="20"/>
                <w:szCs w:val="20"/>
              </w:rPr>
              <w:t>üldhooldekodude</w:t>
            </w:r>
            <w:proofErr w:type="spellEnd"/>
            <w:r w:rsidRPr="003A3D94">
              <w:rPr>
                <w:rFonts w:ascii="Times New Roman" w:hAnsi="Times New Roman" w:cs="Times New Roman"/>
                <w:sz w:val="20"/>
                <w:szCs w:val="20"/>
              </w:rPr>
              <w:t xml:space="preserve"> projektidele toetust ei anta.  </w:t>
            </w:r>
          </w:p>
          <w:p w14:paraId="6181AEAD" w14:textId="77777777" w:rsidR="00C9561B" w:rsidRPr="003A3D94" w:rsidRDefault="004D1098" w:rsidP="00C9561B">
            <w:pPr>
              <w:rPr>
                <w:rFonts w:ascii="Times New Roman" w:hAnsi="Times New Roman" w:cs="Times New Roman"/>
                <w:sz w:val="20"/>
                <w:szCs w:val="20"/>
              </w:rPr>
            </w:pPr>
            <w:r w:rsidRPr="003A3D94">
              <w:rPr>
                <w:rFonts w:ascii="Times New Roman" w:hAnsi="Times New Roman" w:cs="Times New Roman"/>
                <w:sz w:val="20"/>
                <w:szCs w:val="20"/>
              </w:rPr>
              <w:t xml:space="preserve">See on täiesti ebaproportsionaalne siia sisse suruda (ilmselt SotsMin poolt). Kõik osapooled peaksid ometi teadma, et </w:t>
            </w:r>
            <w:r w:rsidR="00C9561B" w:rsidRPr="003A3D94">
              <w:rPr>
                <w:rFonts w:ascii="Times New Roman" w:hAnsi="Times New Roman" w:cs="Times New Roman"/>
                <w:sz w:val="20"/>
                <w:szCs w:val="20"/>
              </w:rPr>
              <w:t xml:space="preserve">ÜLDHOOLDEKODUD ei ole kuidagi moodi Eestis veel ebavajalikuks või ebaseaduslikuks muutunud, jätkuvalt on </w:t>
            </w:r>
            <w:proofErr w:type="spellStart"/>
            <w:r w:rsidR="00C9561B" w:rsidRPr="003A3D94">
              <w:rPr>
                <w:rFonts w:ascii="Times New Roman" w:hAnsi="Times New Roman" w:cs="Times New Roman"/>
                <w:sz w:val="20"/>
                <w:szCs w:val="20"/>
              </w:rPr>
              <w:t>üldhooldekodude</w:t>
            </w:r>
            <w:proofErr w:type="spellEnd"/>
            <w:r w:rsidR="00C9561B" w:rsidRPr="003A3D94">
              <w:rPr>
                <w:rFonts w:ascii="Times New Roman" w:hAnsi="Times New Roman" w:cs="Times New Roman"/>
                <w:sz w:val="20"/>
                <w:szCs w:val="20"/>
              </w:rPr>
              <w:t xml:space="preserve"> kohti ebapiisavalt ja </w:t>
            </w:r>
            <w:proofErr w:type="spellStart"/>
            <w:r w:rsidR="00C9561B" w:rsidRPr="003A3D94">
              <w:rPr>
                <w:rFonts w:ascii="Times New Roman" w:hAnsi="Times New Roman" w:cs="Times New Roman"/>
                <w:sz w:val="20"/>
                <w:szCs w:val="20"/>
              </w:rPr>
              <w:t>KOV_id</w:t>
            </w:r>
            <w:proofErr w:type="spellEnd"/>
            <w:r w:rsidR="00C9561B" w:rsidRPr="003A3D94">
              <w:rPr>
                <w:rFonts w:ascii="Times New Roman" w:hAnsi="Times New Roman" w:cs="Times New Roman"/>
                <w:sz w:val="20"/>
                <w:szCs w:val="20"/>
              </w:rPr>
              <w:t xml:space="preserve">, kes omavad </w:t>
            </w:r>
            <w:proofErr w:type="spellStart"/>
            <w:r w:rsidR="00C9561B" w:rsidRPr="003A3D94">
              <w:rPr>
                <w:rFonts w:ascii="Times New Roman" w:hAnsi="Times New Roman" w:cs="Times New Roman"/>
                <w:sz w:val="20"/>
                <w:szCs w:val="20"/>
              </w:rPr>
              <w:t>üldhooldekodusid</w:t>
            </w:r>
            <w:proofErr w:type="spellEnd"/>
            <w:r w:rsidR="00C9561B" w:rsidRPr="003A3D94">
              <w:rPr>
                <w:rFonts w:ascii="Times New Roman" w:hAnsi="Times New Roman" w:cs="Times New Roman"/>
                <w:sz w:val="20"/>
                <w:szCs w:val="20"/>
              </w:rPr>
              <w:t xml:space="preserve">, et suuda oma vahenditega neid korras hoida või kaasaegset uut taristut rajada. </w:t>
            </w:r>
          </w:p>
          <w:p w14:paraId="471710D8" w14:textId="77777777" w:rsidR="00C9561B" w:rsidRPr="003A3D94" w:rsidRDefault="00C9561B" w:rsidP="00C9561B">
            <w:pPr>
              <w:rPr>
                <w:rFonts w:ascii="Times New Roman" w:hAnsi="Times New Roman" w:cs="Times New Roman"/>
                <w:sz w:val="20"/>
                <w:szCs w:val="20"/>
              </w:rPr>
            </w:pPr>
            <w:r w:rsidRPr="003A3D94">
              <w:rPr>
                <w:rFonts w:ascii="Times New Roman" w:hAnsi="Times New Roman" w:cs="Times New Roman"/>
                <w:sz w:val="20"/>
                <w:szCs w:val="20"/>
              </w:rPr>
              <w:t xml:space="preserve">Saan loomulikult aru, et suund on seatud nn kogukonnapõhiste toetatud elamise teenuse arendamisele. Kuid tänane ühiskond jätkuvalt on </w:t>
            </w:r>
            <w:proofErr w:type="spellStart"/>
            <w:r w:rsidRPr="003A3D94">
              <w:rPr>
                <w:rFonts w:ascii="Times New Roman" w:hAnsi="Times New Roman" w:cs="Times New Roman"/>
                <w:sz w:val="20"/>
                <w:szCs w:val="20"/>
              </w:rPr>
              <w:t>üldhooldekodude</w:t>
            </w:r>
            <w:proofErr w:type="spellEnd"/>
            <w:r w:rsidRPr="003A3D94">
              <w:rPr>
                <w:rFonts w:ascii="Times New Roman" w:hAnsi="Times New Roman" w:cs="Times New Roman"/>
                <w:sz w:val="20"/>
                <w:szCs w:val="20"/>
              </w:rPr>
              <w:t xml:space="preserve"> kohtade vajaduses ning kohati ka puuduses. </w:t>
            </w:r>
          </w:p>
          <w:p w14:paraId="5AEDFAD2" w14:textId="77777777" w:rsidR="00C9561B" w:rsidRPr="003A3D94" w:rsidRDefault="00C9561B" w:rsidP="00C9561B">
            <w:pPr>
              <w:rPr>
                <w:rFonts w:ascii="Times New Roman" w:hAnsi="Times New Roman" w:cs="Times New Roman"/>
                <w:sz w:val="20"/>
                <w:szCs w:val="20"/>
              </w:rPr>
            </w:pPr>
            <w:r w:rsidRPr="003A3D94">
              <w:rPr>
                <w:rFonts w:ascii="Times New Roman" w:hAnsi="Times New Roman" w:cs="Times New Roman"/>
                <w:sz w:val="20"/>
                <w:szCs w:val="20"/>
              </w:rPr>
              <w:t xml:space="preserve">Aga </w:t>
            </w:r>
            <w:proofErr w:type="spellStart"/>
            <w:r w:rsidRPr="003A3D94">
              <w:rPr>
                <w:rFonts w:ascii="Times New Roman" w:hAnsi="Times New Roman" w:cs="Times New Roman"/>
                <w:sz w:val="20"/>
                <w:szCs w:val="20"/>
              </w:rPr>
              <w:t>KOV-id</w:t>
            </w:r>
            <w:proofErr w:type="spellEnd"/>
            <w:r w:rsidRPr="003A3D94">
              <w:rPr>
                <w:rFonts w:ascii="Times New Roman" w:hAnsi="Times New Roman" w:cs="Times New Roman"/>
                <w:sz w:val="20"/>
                <w:szCs w:val="20"/>
              </w:rPr>
              <w:t xml:space="preserve">, kes on pilootprojektidena neid kogukonnapõhiselt toetatud elamise teenuseid arendanud näevad ja on jaganud, et sedalaadi teenusele sobivaid inimesi leida on väga raske. </w:t>
            </w:r>
          </w:p>
          <w:p w14:paraId="76BC27A6" w14:textId="77777777" w:rsidR="00C9561B" w:rsidRPr="003A3D94" w:rsidRDefault="00C9561B" w:rsidP="00C9561B">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Jah, me saame aru, et ka seda suunda on tarvis arendada ja pakkuda. Aga ei saa suruda IGASSE meetmesse ühtesid ja samu nõudeid ja suundi?!! </w:t>
            </w:r>
          </w:p>
          <w:p w14:paraId="7737C552" w14:textId="2B49F195" w:rsidR="00AB25BA" w:rsidRPr="003A3D94" w:rsidRDefault="00AB25BA" w:rsidP="004D1098">
            <w:pPr>
              <w:rPr>
                <w:rFonts w:ascii="Times New Roman" w:hAnsi="Times New Roman" w:cs="Times New Roman"/>
                <w:sz w:val="20"/>
                <w:szCs w:val="20"/>
              </w:rPr>
            </w:pPr>
          </w:p>
        </w:tc>
        <w:tc>
          <w:tcPr>
            <w:tcW w:w="3685" w:type="dxa"/>
          </w:tcPr>
          <w:p w14:paraId="1747009B"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Kusagile peavad jääma võimalused ka teistsuguste teenuste arendamiseks, mida on </w:t>
            </w:r>
            <w:proofErr w:type="spellStart"/>
            <w:r w:rsidRPr="003A3D94">
              <w:rPr>
                <w:rFonts w:ascii="Times New Roman" w:hAnsi="Times New Roman" w:cs="Times New Roman"/>
                <w:sz w:val="20"/>
                <w:szCs w:val="20"/>
              </w:rPr>
              <w:t>KOV-idel</w:t>
            </w:r>
            <w:proofErr w:type="spellEnd"/>
            <w:r w:rsidRPr="003A3D94">
              <w:rPr>
                <w:rFonts w:ascii="Times New Roman" w:hAnsi="Times New Roman" w:cs="Times New Roman"/>
                <w:sz w:val="20"/>
                <w:szCs w:val="20"/>
              </w:rPr>
              <w:t xml:space="preserve"> ja teenusesaajatel samuti vaja.</w:t>
            </w:r>
          </w:p>
          <w:p w14:paraId="19EEFEB9" w14:textId="77777777" w:rsidR="004D1098" w:rsidRPr="003A3D94" w:rsidRDefault="004D1098" w:rsidP="004D1098">
            <w:pPr>
              <w:rPr>
                <w:rFonts w:ascii="Times New Roman" w:hAnsi="Times New Roman" w:cs="Times New Roman"/>
                <w:sz w:val="20"/>
                <w:szCs w:val="20"/>
              </w:rPr>
            </w:pPr>
          </w:p>
          <w:p w14:paraId="00AEAC78"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t xml:space="preserve">Tuletan meelde, et kogukonnapõhiste toetatud elamise nõue oli sees </w:t>
            </w:r>
            <w:r w:rsidRPr="003A3D94">
              <w:rPr>
                <w:rFonts w:ascii="Times New Roman" w:hAnsi="Times New Roman" w:cs="Times New Roman"/>
                <w:b/>
                <w:bCs/>
                <w:sz w:val="20"/>
                <w:szCs w:val="20"/>
              </w:rPr>
              <w:t>Ida-Viru kohalike omavalitsuste investeeringute toetus ülemineku mõjude leevendamiseks</w:t>
            </w:r>
            <w:r w:rsidRPr="003A3D94">
              <w:rPr>
                <w:rFonts w:ascii="Times New Roman" w:hAnsi="Times New Roman" w:cs="Times New Roman"/>
                <w:sz w:val="20"/>
                <w:szCs w:val="20"/>
              </w:rPr>
              <w:t xml:space="preserve"> (sulgus 30.aprill 2024). </w:t>
            </w:r>
          </w:p>
          <w:p w14:paraId="481B1FFB"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Sama nõudega teenusele on olnud juba spetsiaalne meede </w:t>
            </w:r>
            <w:r w:rsidRPr="003A3D94">
              <w:rPr>
                <w:rFonts w:ascii="Times New Roman" w:hAnsi="Times New Roman" w:cs="Times New Roman"/>
                <w:b/>
                <w:bCs/>
                <w:sz w:val="20"/>
                <w:szCs w:val="20"/>
              </w:rPr>
              <w:t>Kogukonnapõhiste toetatud elamiste loomine teenusmajas</w:t>
            </w:r>
            <w:r w:rsidRPr="003A3D94">
              <w:rPr>
                <w:rFonts w:ascii="Times New Roman" w:hAnsi="Times New Roman" w:cs="Times New Roman"/>
                <w:sz w:val="20"/>
                <w:szCs w:val="20"/>
              </w:rPr>
              <w:t xml:space="preserve"> (sulgus 6.mai 2024).</w:t>
            </w:r>
          </w:p>
          <w:p w14:paraId="53A6B65A" w14:textId="77777777" w:rsidR="004D1098" w:rsidRPr="003A3D94" w:rsidRDefault="004D1098" w:rsidP="004D1098">
            <w:pPr>
              <w:rPr>
                <w:rFonts w:ascii="Times New Roman" w:hAnsi="Times New Roman" w:cs="Times New Roman"/>
                <w:sz w:val="20"/>
                <w:szCs w:val="20"/>
              </w:rPr>
            </w:pPr>
          </w:p>
          <w:p w14:paraId="3DAE7BA7"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t xml:space="preserve">Lüganuse </w:t>
            </w:r>
            <w:proofErr w:type="spellStart"/>
            <w:r w:rsidRPr="003A3D94">
              <w:rPr>
                <w:rFonts w:ascii="Times New Roman" w:hAnsi="Times New Roman" w:cs="Times New Roman"/>
                <w:sz w:val="20"/>
                <w:szCs w:val="20"/>
              </w:rPr>
              <w:t>KOV-i</w:t>
            </w:r>
            <w:proofErr w:type="spellEnd"/>
            <w:r w:rsidRPr="003A3D94">
              <w:rPr>
                <w:rFonts w:ascii="Times New Roman" w:hAnsi="Times New Roman" w:cs="Times New Roman"/>
                <w:sz w:val="20"/>
                <w:szCs w:val="20"/>
              </w:rPr>
              <w:t xml:space="preserve"> näitel on meie </w:t>
            </w:r>
            <w:proofErr w:type="spellStart"/>
            <w:r w:rsidRPr="003A3D94">
              <w:rPr>
                <w:rFonts w:ascii="Times New Roman" w:hAnsi="Times New Roman" w:cs="Times New Roman"/>
                <w:sz w:val="20"/>
                <w:szCs w:val="20"/>
              </w:rPr>
              <w:t>KOV-idele</w:t>
            </w:r>
            <w:proofErr w:type="spellEnd"/>
            <w:r w:rsidRPr="003A3D94">
              <w:rPr>
                <w:rFonts w:ascii="Times New Roman" w:hAnsi="Times New Roman" w:cs="Times New Roman"/>
                <w:sz w:val="20"/>
                <w:szCs w:val="20"/>
              </w:rPr>
              <w:t xml:space="preserve"> (Lüganuse ja Viru-Nigula) 100%-</w:t>
            </w:r>
            <w:proofErr w:type="spellStart"/>
            <w:r w:rsidRPr="003A3D94">
              <w:rPr>
                <w:rFonts w:ascii="Times New Roman" w:hAnsi="Times New Roman" w:cs="Times New Roman"/>
                <w:sz w:val="20"/>
                <w:szCs w:val="20"/>
              </w:rPr>
              <w:t>liselt</w:t>
            </w:r>
            <w:proofErr w:type="spellEnd"/>
            <w:r w:rsidRPr="003A3D94">
              <w:rPr>
                <w:rFonts w:ascii="Times New Roman" w:hAnsi="Times New Roman" w:cs="Times New Roman"/>
                <w:sz w:val="20"/>
                <w:szCs w:val="20"/>
              </w:rPr>
              <w:t xml:space="preserve"> kuuluval tänaseni </w:t>
            </w:r>
            <w:proofErr w:type="spellStart"/>
            <w:r w:rsidRPr="003A3D94">
              <w:rPr>
                <w:rFonts w:ascii="Times New Roman" w:hAnsi="Times New Roman" w:cs="Times New Roman"/>
                <w:sz w:val="20"/>
                <w:szCs w:val="20"/>
              </w:rPr>
              <w:t>üldtüüpi</w:t>
            </w:r>
            <w:proofErr w:type="spellEnd"/>
            <w:r w:rsidRPr="003A3D94">
              <w:rPr>
                <w:rFonts w:ascii="Times New Roman" w:hAnsi="Times New Roman" w:cs="Times New Roman"/>
                <w:sz w:val="20"/>
                <w:szCs w:val="20"/>
              </w:rPr>
              <w:t xml:space="preserve"> hooldekodu teenust pakkuval sihtasutusel ette valmistatud (juba tegeletakse alates jaanuarist 2023) uue kaasaegse </w:t>
            </w:r>
            <w:proofErr w:type="spellStart"/>
            <w:r w:rsidRPr="003A3D94">
              <w:rPr>
                <w:rFonts w:ascii="Times New Roman" w:hAnsi="Times New Roman" w:cs="Times New Roman"/>
                <w:sz w:val="20"/>
                <w:szCs w:val="20"/>
              </w:rPr>
              <w:t>üldtüüpi</w:t>
            </w:r>
            <w:proofErr w:type="spellEnd"/>
            <w:r w:rsidRPr="003A3D94">
              <w:rPr>
                <w:rFonts w:ascii="Times New Roman" w:hAnsi="Times New Roman" w:cs="Times New Roman"/>
                <w:sz w:val="20"/>
                <w:szCs w:val="20"/>
              </w:rPr>
              <w:t xml:space="preserve"> hooldust pakkuva uue hoone (24-le kliendile) rajamise eskiisprojekt, mis vastab kõigile nõuetele ligipääsetavuse, energiakasutuse jne osas. Kuid selle eskiisiga jäi SA välja ÕÜF KOV investeeringumeetmest, samamoodi ei saanud taotleda teisest kogukonnapõhise elamise meetmest ning millele on jäänud viimane nn õlekõrs siis see KVAT-meetme 2.voor. SA on liikunud selle teemaga edasi lootuses, et on võimalik taotleda ja tellinud hoone eelprojekti, mille saaks ilusti valmis 2024.a. lõpuks. </w:t>
            </w:r>
          </w:p>
          <w:p w14:paraId="69CA9127" w14:textId="77777777" w:rsidR="004D1098" w:rsidRPr="003A3D94" w:rsidRDefault="004D1098" w:rsidP="004D1098">
            <w:pPr>
              <w:rPr>
                <w:rFonts w:ascii="Times New Roman" w:hAnsi="Times New Roman" w:cs="Times New Roman"/>
                <w:sz w:val="20"/>
                <w:szCs w:val="20"/>
              </w:rPr>
            </w:pPr>
          </w:p>
          <w:p w14:paraId="1B2F7D0E"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t xml:space="preserve">MIKS pannakse ka pooleliolevale meetmele sisse nõuded, mis piiravad ja millele on olnud 2x juba toetusmeetmed?  Kui palju see kahju tekitaks, kui seda lisapunkti § 4 lg 4 p 10 siia EI LISATAKS? </w:t>
            </w:r>
          </w:p>
          <w:p w14:paraId="07DD4D8B"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t xml:space="preserve">See ei saa Euroopa Liidu Põhiõiguste hartaga vastuollu minna, sest aasta tagasi ta vastuollu ei läinud. </w:t>
            </w:r>
          </w:p>
          <w:p w14:paraId="4FF47D99"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t xml:space="preserve">Mina ei tea, millised on tulemused kogukonnapõhiste toetatud elamiste loomise meetmes, mis sulgus 6.mail, oli seal palju taotlejaid või parasjagu. </w:t>
            </w:r>
          </w:p>
          <w:p w14:paraId="718347F2" w14:textId="77777777" w:rsidR="004D1098" w:rsidRPr="003A3D94" w:rsidRDefault="004D1098" w:rsidP="004D1098">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Kes soovisid seda teenust arendada, küllap need ka taotlesid. </w:t>
            </w:r>
          </w:p>
          <w:p w14:paraId="3199D8AB" w14:textId="77777777" w:rsidR="00AB25BA" w:rsidRPr="003A3D94" w:rsidRDefault="00AB25BA" w:rsidP="00A409E0">
            <w:pPr>
              <w:rPr>
                <w:rFonts w:ascii="Times New Roman" w:hAnsi="Times New Roman" w:cs="Times New Roman"/>
                <w:sz w:val="20"/>
                <w:szCs w:val="20"/>
              </w:rPr>
            </w:pPr>
          </w:p>
        </w:tc>
        <w:tc>
          <w:tcPr>
            <w:tcW w:w="3649" w:type="dxa"/>
          </w:tcPr>
          <w:p w14:paraId="7E04EA0F" w14:textId="4AE78296" w:rsidR="000A056B" w:rsidRPr="003A3D94" w:rsidRDefault="00C9561B" w:rsidP="000A056B">
            <w:pPr>
              <w:pStyle w:val="Default"/>
              <w:rPr>
                <w:color w:val="auto"/>
                <w:sz w:val="20"/>
                <w:szCs w:val="20"/>
              </w:rPr>
            </w:pPr>
            <w:r w:rsidRPr="003A3D94">
              <w:rPr>
                <w:color w:val="auto"/>
                <w:sz w:val="20"/>
                <w:szCs w:val="20"/>
              </w:rPr>
              <w:lastRenderedPageBreak/>
              <w:t xml:space="preserve">Selgitatud. Meetme määruse täiendamine enne II taotlusvooru on vajalik selleks, et potentsiaalsetel taotlejatel oleks terviklik ülevaade olulistest piirangutest, mis tulenevad Euroopa Komisjoniga kokku lepitud rakenduskavast ning kõigi struktuuritoetuste rakendamisel otsekohalduvast </w:t>
            </w:r>
            <w:r w:rsidR="000A056B" w:rsidRPr="003A3D94">
              <w:rPr>
                <w:color w:val="auto"/>
                <w:sz w:val="20"/>
                <w:szCs w:val="20"/>
              </w:rPr>
              <w:t xml:space="preserve"> Euroopa Parlamendi ja nõukogu määrusest (EL) nr 2021/1060 </w:t>
            </w:r>
            <w:r w:rsidR="000A056B" w:rsidRPr="003A3D94">
              <w:rPr>
                <w:color w:val="auto"/>
                <w:sz w:val="20"/>
                <w:szCs w:val="20"/>
              </w:rPr>
              <w:lastRenderedPageBreak/>
              <w:t xml:space="preserve">(edaspidi ÜSM). Arvestades ÜSM  artiklis 9 nimetatud horisontaalseid põhimõtteid, </w:t>
            </w:r>
          </w:p>
          <w:p w14:paraId="7619F7F4" w14:textId="3FF84144" w:rsidR="00AB25BA" w:rsidRPr="003A3D94" w:rsidRDefault="000A056B" w:rsidP="000A056B">
            <w:pPr>
              <w:pStyle w:val="Default"/>
              <w:rPr>
                <w:sz w:val="20"/>
                <w:szCs w:val="20"/>
              </w:rPr>
            </w:pPr>
            <w:r w:rsidRPr="003A3D94">
              <w:rPr>
                <w:color w:val="auto"/>
                <w:sz w:val="20"/>
                <w:szCs w:val="20"/>
              </w:rPr>
              <w:t>kohustust aidata kaasa riigi pikaajalise arengustrateegia „Eesti 2035” strateegiliste sihtide ja aluspõhimõtete saavutamisele ning ühtekuuluvuspoliitika fondide rakenduskava kinnitamisega tehtud kokkuleppeid Euroopa Komisjoniga</w:t>
            </w:r>
            <w:r w:rsidR="007E593C" w:rsidRPr="003A3D94">
              <w:rPr>
                <w:color w:val="auto"/>
                <w:sz w:val="20"/>
                <w:szCs w:val="20"/>
              </w:rPr>
              <w:t>,</w:t>
            </w:r>
            <w:r w:rsidRPr="003A3D94">
              <w:rPr>
                <w:color w:val="auto"/>
                <w:sz w:val="20"/>
                <w:szCs w:val="20"/>
              </w:rPr>
              <w:t xml:space="preserve"> ei ole rakendusüksusel võimalik </w:t>
            </w:r>
            <w:proofErr w:type="spellStart"/>
            <w:r w:rsidRPr="003A3D94">
              <w:rPr>
                <w:color w:val="auto"/>
                <w:sz w:val="20"/>
                <w:szCs w:val="20"/>
              </w:rPr>
              <w:t>üld</w:t>
            </w:r>
            <w:r w:rsidRPr="003A3D94">
              <w:rPr>
                <w:sz w:val="20"/>
                <w:szCs w:val="20"/>
              </w:rPr>
              <w:t>h</w:t>
            </w:r>
            <w:r w:rsidRPr="003A3D94">
              <w:rPr>
                <w:color w:val="auto"/>
                <w:sz w:val="20"/>
                <w:szCs w:val="20"/>
              </w:rPr>
              <w:t>ooldekodude</w:t>
            </w:r>
            <w:proofErr w:type="spellEnd"/>
            <w:r w:rsidRPr="003A3D94">
              <w:rPr>
                <w:color w:val="auto"/>
                <w:sz w:val="20"/>
                <w:szCs w:val="20"/>
              </w:rPr>
              <w:t xml:space="preserve"> projekte nõuetele vastavaks tunnistada. Nii vastuskirjas nimetatud õiglase ülemineku fondi meede kui antud meetme määrus on rakendatud samade alusdokumentide alusel ning lähtuvad seega samadest põhimõtetest.</w:t>
            </w:r>
          </w:p>
        </w:tc>
      </w:tr>
      <w:tr w:rsidR="00AB25BA" w:rsidRPr="003A3D94" w14:paraId="08BEFE86" w14:textId="77777777" w:rsidTr="003A3D94">
        <w:tc>
          <w:tcPr>
            <w:tcW w:w="689" w:type="dxa"/>
          </w:tcPr>
          <w:p w14:paraId="02613C6E" w14:textId="77777777"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lastRenderedPageBreak/>
              <w:t>4</w:t>
            </w:r>
          </w:p>
        </w:tc>
        <w:tc>
          <w:tcPr>
            <w:tcW w:w="1007" w:type="dxa"/>
          </w:tcPr>
          <w:p w14:paraId="6757F55E" w14:textId="6F61F503" w:rsidR="00AB25BA" w:rsidRPr="003A3D94" w:rsidRDefault="000F59AD" w:rsidP="00A409E0">
            <w:pPr>
              <w:rPr>
                <w:rFonts w:ascii="Times New Roman" w:hAnsi="Times New Roman" w:cs="Times New Roman"/>
                <w:sz w:val="20"/>
                <w:szCs w:val="20"/>
              </w:rPr>
            </w:pPr>
            <w:r w:rsidRPr="003A3D94">
              <w:rPr>
                <w:rFonts w:ascii="Times New Roman" w:hAnsi="Times New Roman" w:cs="Times New Roman"/>
                <w:sz w:val="20"/>
                <w:szCs w:val="20"/>
              </w:rPr>
              <w:t>KLIM, Triin Karin, Marite Kungla</w:t>
            </w:r>
          </w:p>
        </w:tc>
        <w:tc>
          <w:tcPr>
            <w:tcW w:w="1276" w:type="dxa"/>
          </w:tcPr>
          <w:p w14:paraId="346CF3D7" w14:textId="150C467C" w:rsidR="00AB25BA" w:rsidRPr="003A3D94" w:rsidRDefault="000F59AD" w:rsidP="00A409E0">
            <w:pPr>
              <w:rPr>
                <w:rFonts w:ascii="Times New Roman" w:hAnsi="Times New Roman" w:cs="Times New Roman"/>
                <w:sz w:val="20"/>
                <w:szCs w:val="20"/>
              </w:rPr>
            </w:pPr>
            <w:r w:rsidRPr="003A3D94">
              <w:rPr>
                <w:rFonts w:ascii="Times New Roman" w:hAnsi="Times New Roman" w:cs="Times New Roman"/>
                <w:sz w:val="20"/>
                <w:szCs w:val="20"/>
              </w:rPr>
              <w:t>§ 4 lg 4 p 7</w:t>
            </w:r>
          </w:p>
        </w:tc>
        <w:tc>
          <w:tcPr>
            <w:tcW w:w="3686" w:type="dxa"/>
          </w:tcPr>
          <w:p w14:paraId="1F320D56" w14:textId="77777777" w:rsidR="000F59AD" w:rsidRPr="003A3D94" w:rsidRDefault="000F59AD" w:rsidP="000F59AD">
            <w:pPr>
              <w:rPr>
                <w:rFonts w:ascii="Times New Roman" w:hAnsi="Times New Roman" w:cs="Times New Roman"/>
                <w:sz w:val="20"/>
                <w:szCs w:val="20"/>
              </w:rPr>
            </w:pPr>
            <w:r w:rsidRPr="003A3D94">
              <w:rPr>
                <w:rFonts w:ascii="Times New Roman" w:hAnsi="Times New Roman" w:cs="Times New Roman"/>
                <w:b/>
                <w:bCs/>
                <w:sz w:val="20"/>
                <w:szCs w:val="20"/>
              </w:rPr>
              <w:t xml:space="preserve">6) </w:t>
            </w:r>
            <w:r w:rsidRPr="003A3D94">
              <w:rPr>
                <w:rFonts w:ascii="Times New Roman" w:hAnsi="Times New Roman" w:cs="Times New Roman"/>
                <w:sz w:val="20"/>
                <w:szCs w:val="20"/>
              </w:rPr>
              <w:t>paragrahvi 4 lõike 4 punkt 7 sõnastatakse järgmiselt:</w:t>
            </w:r>
          </w:p>
          <w:p w14:paraId="5E365376" w14:textId="77777777" w:rsidR="000F59AD" w:rsidRPr="003A3D94" w:rsidRDefault="000F59AD" w:rsidP="000F59AD">
            <w:pPr>
              <w:rPr>
                <w:rFonts w:ascii="Times New Roman" w:hAnsi="Times New Roman" w:cs="Times New Roman"/>
                <w:sz w:val="20"/>
                <w:szCs w:val="20"/>
              </w:rPr>
            </w:pPr>
            <w:r w:rsidRPr="003A3D94">
              <w:rPr>
                <w:rFonts w:ascii="Times New Roman" w:hAnsi="Times New Roman" w:cs="Times New Roman"/>
                <w:sz w:val="20"/>
                <w:szCs w:val="20"/>
              </w:rPr>
              <w:t>„7) vähemalt viieaastase kestvusega taristuinvesteeringuks, mille puhul ei ole tagatud kliimakindlus;“;</w:t>
            </w:r>
          </w:p>
          <w:p w14:paraId="52D33DAB" w14:textId="77777777" w:rsidR="00AB25BA" w:rsidRPr="003A3D94" w:rsidRDefault="00AB25BA" w:rsidP="00A409E0">
            <w:pPr>
              <w:rPr>
                <w:rFonts w:ascii="Times New Roman" w:hAnsi="Times New Roman" w:cs="Times New Roman"/>
                <w:sz w:val="20"/>
                <w:szCs w:val="20"/>
              </w:rPr>
            </w:pPr>
          </w:p>
        </w:tc>
        <w:tc>
          <w:tcPr>
            <w:tcW w:w="3685" w:type="dxa"/>
          </w:tcPr>
          <w:p w14:paraId="1E97CB9B" w14:textId="5978D569" w:rsidR="000F59AD" w:rsidRPr="003A3D94" w:rsidRDefault="000F59AD" w:rsidP="000F59AD">
            <w:pPr>
              <w:rPr>
                <w:rFonts w:ascii="Times New Roman" w:hAnsi="Times New Roman" w:cs="Times New Roman"/>
                <w:sz w:val="20"/>
                <w:szCs w:val="20"/>
              </w:rPr>
            </w:pPr>
            <w:r w:rsidRPr="003A3D94">
              <w:rPr>
                <w:rFonts w:ascii="Times New Roman" w:hAnsi="Times New Roman" w:cs="Times New Roman"/>
                <w:sz w:val="20"/>
                <w:szCs w:val="20"/>
              </w:rPr>
              <w:t>See lause tundub kuidagi keeruline.</w:t>
            </w:r>
            <w:r w:rsidRPr="003A3D94">
              <w:rPr>
                <w:rFonts w:ascii="Times New Roman" w:eastAsia="Times New Roman" w:hAnsi="Times New Roman" w:cs="Times New Roman"/>
                <w:sz w:val="20"/>
                <w:szCs w:val="20"/>
                <w:lang w:eastAsia="et-EE"/>
              </w:rPr>
              <w:t xml:space="preserve"> </w:t>
            </w:r>
            <w:r w:rsidRPr="003A3D94">
              <w:rPr>
                <w:rFonts w:ascii="Times New Roman" w:hAnsi="Times New Roman" w:cs="Times New Roman"/>
                <w:sz w:val="20"/>
                <w:szCs w:val="20"/>
              </w:rPr>
              <w:t>"Ei" vorm ei ole hea, võiks olla jaatuses. Hetkel ei saa aru mida siin öelda on tahetud.</w:t>
            </w:r>
          </w:p>
          <w:p w14:paraId="0CF1BCAA" w14:textId="406ABA46" w:rsidR="00AB25BA" w:rsidRPr="003A3D94" w:rsidRDefault="00AB25BA" w:rsidP="00A409E0">
            <w:pPr>
              <w:rPr>
                <w:rFonts w:ascii="Times New Roman" w:hAnsi="Times New Roman" w:cs="Times New Roman"/>
                <w:sz w:val="20"/>
                <w:szCs w:val="20"/>
              </w:rPr>
            </w:pPr>
          </w:p>
        </w:tc>
        <w:tc>
          <w:tcPr>
            <w:tcW w:w="3649" w:type="dxa"/>
          </w:tcPr>
          <w:p w14:paraId="2D0DC613" w14:textId="38B52BA6" w:rsidR="00AB25BA" w:rsidRPr="003A3D94" w:rsidRDefault="00C4553F" w:rsidP="00A409E0">
            <w:pPr>
              <w:rPr>
                <w:rFonts w:ascii="Times New Roman" w:hAnsi="Times New Roman" w:cs="Times New Roman"/>
                <w:sz w:val="20"/>
                <w:szCs w:val="20"/>
              </w:rPr>
            </w:pPr>
            <w:r w:rsidRPr="003A3D94">
              <w:rPr>
                <w:rFonts w:ascii="Times New Roman" w:hAnsi="Times New Roman" w:cs="Times New Roman"/>
                <w:sz w:val="20"/>
                <w:szCs w:val="20"/>
              </w:rPr>
              <w:t>Arvestatud ja lisatud § 4 lõike 5 esimeseks lauseks</w:t>
            </w:r>
            <w:r w:rsidR="003D1541" w:rsidRPr="003A3D94">
              <w:rPr>
                <w:rFonts w:ascii="Times New Roman" w:hAnsi="Times New Roman" w:cs="Times New Roman"/>
                <w:sz w:val="20"/>
                <w:szCs w:val="20"/>
              </w:rPr>
              <w:t xml:space="preserve"> järgmises sõnastuses</w:t>
            </w:r>
            <w:r w:rsidRPr="003A3D94">
              <w:rPr>
                <w:rFonts w:ascii="Times New Roman" w:hAnsi="Times New Roman" w:cs="Times New Roman"/>
                <w:sz w:val="20"/>
                <w:szCs w:val="20"/>
              </w:rPr>
              <w:t>:</w:t>
            </w:r>
          </w:p>
          <w:p w14:paraId="305BE2AF" w14:textId="77777777" w:rsidR="00C4553F" w:rsidRPr="003A3D94" w:rsidRDefault="00C4553F" w:rsidP="00A409E0">
            <w:pPr>
              <w:rPr>
                <w:rFonts w:ascii="Times New Roman" w:hAnsi="Times New Roman" w:cs="Times New Roman"/>
                <w:sz w:val="20"/>
                <w:szCs w:val="20"/>
              </w:rPr>
            </w:pPr>
          </w:p>
          <w:p w14:paraId="5B4A0E02" w14:textId="2E898784" w:rsidR="00C4553F" w:rsidRPr="003A3D94" w:rsidRDefault="00C4553F" w:rsidP="00C4553F">
            <w:pPr>
              <w:rPr>
                <w:rFonts w:ascii="Times New Roman" w:eastAsia="Times New Roman" w:hAnsi="Times New Roman" w:cs="Times New Roman"/>
                <w:sz w:val="20"/>
                <w:szCs w:val="20"/>
              </w:rPr>
            </w:pPr>
            <w:r w:rsidRPr="003A3D94">
              <w:rPr>
                <w:rFonts w:ascii="Times New Roman" w:hAnsi="Times New Roman" w:cs="Times New Roman"/>
                <w:sz w:val="20"/>
                <w:szCs w:val="20"/>
              </w:rPr>
              <w:t>(5)</w:t>
            </w:r>
            <w:r w:rsidRPr="003A3D94">
              <w:rPr>
                <w:rFonts w:ascii="Times New Roman" w:eastAsia="Times New Roman" w:hAnsi="Times New Roman" w:cs="Times New Roman"/>
                <w:sz w:val="20"/>
                <w:szCs w:val="20"/>
              </w:rPr>
              <w:t xml:space="preserve"> Taristuinvesteeringu puhul, mille kestvus on vähemalt viis aastat, </w:t>
            </w:r>
          </w:p>
          <w:p w14:paraId="430841E3" w14:textId="2686CC68" w:rsidR="00C4553F" w:rsidRPr="003A3D94" w:rsidRDefault="00C4553F" w:rsidP="00C4553F">
            <w:pPr>
              <w:rPr>
                <w:rFonts w:ascii="Times New Roman" w:eastAsia="Times New Roman" w:hAnsi="Times New Roman" w:cs="Times New Roman"/>
                <w:sz w:val="20"/>
                <w:szCs w:val="20"/>
              </w:rPr>
            </w:pPr>
            <w:r w:rsidRPr="003A3D94">
              <w:rPr>
                <w:rFonts w:ascii="Times New Roman" w:eastAsia="Times New Roman" w:hAnsi="Times New Roman" w:cs="Times New Roman"/>
                <w:sz w:val="20"/>
                <w:szCs w:val="20"/>
              </w:rPr>
              <w:t>peab olema tagatud kliimakindlus.</w:t>
            </w:r>
          </w:p>
          <w:p w14:paraId="30DF7CAE" w14:textId="2B2A13A8" w:rsidR="00C4553F" w:rsidRPr="003A3D94" w:rsidRDefault="00C4553F" w:rsidP="003D1541">
            <w:pPr>
              <w:rPr>
                <w:rFonts w:ascii="Times New Roman" w:hAnsi="Times New Roman" w:cs="Times New Roman"/>
                <w:sz w:val="20"/>
                <w:szCs w:val="20"/>
              </w:rPr>
            </w:pPr>
          </w:p>
        </w:tc>
      </w:tr>
      <w:tr w:rsidR="00AB25BA" w:rsidRPr="003A3D94" w14:paraId="036DEE03" w14:textId="77777777" w:rsidTr="003A3D94">
        <w:tc>
          <w:tcPr>
            <w:tcW w:w="689" w:type="dxa"/>
          </w:tcPr>
          <w:p w14:paraId="22370FF5" w14:textId="77777777"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5</w:t>
            </w:r>
          </w:p>
        </w:tc>
        <w:tc>
          <w:tcPr>
            <w:tcW w:w="1007" w:type="dxa"/>
          </w:tcPr>
          <w:p w14:paraId="356BE31A" w14:textId="6A87F70D" w:rsidR="00AB25BA" w:rsidRPr="003A3D94" w:rsidRDefault="000F59AD" w:rsidP="00A409E0">
            <w:pPr>
              <w:rPr>
                <w:rFonts w:ascii="Times New Roman" w:hAnsi="Times New Roman" w:cs="Times New Roman"/>
                <w:sz w:val="20"/>
                <w:szCs w:val="20"/>
              </w:rPr>
            </w:pPr>
            <w:r w:rsidRPr="003A3D94">
              <w:rPr>
                <w:rFonts w:ascii="Times New Roman" w:hAnsi="Times New Roman" w:cs="Times New Roman"/>
                <w:sz w:val="20"/>
                <w:szCs w:val="20"/>
              </w:rPr>
              <w:t>KLIM, Triin Karin, Marite Kungla</w:t>
            </w:r>
          </w:p>
        </w:tc>
        <w:tc>
          <w:tcPr>
            <w:tcW w:w="1276" w:type="dxa"/>
          </w:tcPr>
          <w:p w14:paraId="06F41FA9" w14:textId="0D8E4B56" w:rsidR="00AB25BA" w:rsidRPr="003A3D94" w:rsidRDefault="000F59AD" w:rsidP="00A409E0">
            <w:pPr>
              <w:rPr>
                <w:rFonts w:ascii="Times New Roman" w:hAnsi="Times New Roman" w:cs="Times New Roman"/>
                <w:sz w:val="20"/>
                <w:szCs w:val="20"/>
              </w:rPr>
            </w:pPr>
            <w:r w:rsidRPr="003A3D94">
              <w:rPr>
                <w:rFonts w:ascii="Times New Roman" w:hAnsi="Times New Roman" w:cs="Times New Roman"/>
                <w:sz w:val="20"/>
                <w:szCs w:val="20"/>
              </w:rPr>
              <w:t xml:space="preserve">§ 15 lg </w:t>
            </w:r>
            <w:r w:rsidRPr="003A3D94">
              <w:rPr>
                <w:rFonts w:ascii="Times New Roman" w:hAnsi="Times New Roman" w:cs="Times New Roman"/>
                <w:iCs/>
                <w:sz w:val="20"/>
                <w:szCs w:val="20"/>
              </w:rPr>
              <w:t>1</w:t>
            </w:r>
            <w:r w:rsidRPr="003A3D94">
              <w:rPr>
                <w:rFonts w:ascii="Times New Roman" w:hAnsi="Times New Roman" w:cs="Times New Roman"/>
                <w:iCs/>
                <w:sz w:val="20"/>
                <w:szCs w:val="20"/>
                <w:vertAlign w:val="superscript"/>
              </w:rPr>
              <w:t>1</w:t>
            </w:r>
          </w:p>
        </w:tc>
        <w:tc>
          <w:tcPr>
            <w:tcW w:w="3686" w:type="dxa"/>
          </w:tcPr>
          <w:p w14:paraId="13083BDB" w14:textId="77777777" w:rsidR="000F59AD" w:rsidRPr="003A3D94" w:rsidRDefault="000F59AD" w:rsidP="000F59AD">
            <w:pPr>
              <w:shd w:val="clear" w:color="auto" w:fill="FFFFFF"/>
              <w:jc w:val="both"/>
              <w:rPr>
                <w:rFonts w:ascii="Times New Roman" w:hAnsi="Times New Roman" w:cs="Times New Roman"/>
                <w:iCs/>
                <w:kern w:val="2"/>
                <w:sz w:val="20"/>
                <w:szCs w:val="20"/>
                <w:lang w:eastAsia="zh-CN" w:bidi="hi-IN"/>
              </w:rPr>
            </w:pPr>
            <w:r w:rsidRPr="003A3D94">
              <w:rPr>
                <w:rFonts w:ascii="Times New Roman" w:hAnsi="Times New Roman" w:cs="Times New Roman"/>
                <w:b/>
                <w:bCs/>
                <w:iCs/>
                <w:kern w:val="2"/>
                <w:sz w:val="20"/>
                <w:szCs w:val="20"/>
                <w:lang w:eastAsia="zh-CN" w:bidi="hi-IN"/>
              </w:rPr>
              <w:t>26)</w:t>
            </w:r>
            <w:r w:rsidRPr="003A3D94">
              <w:rPr>
                <w:rFonts w:ascii="Times New Roman" w:hAnsi="Times New Roman" w:cs="Times New Roman"/>
                <w:iCs/>
                <w:kern w:val="2"/>
                <w:sz w:val="20"/>
                <w:szCs w:val="20"/>
                <w:lang w:eastAsia="zh-CN" w:bidi="hi-IN"/>
              </w:rPr>
              <w:t xml:space="preserve"> paragrahvi 15 täiendatakse lõikega 1</w:t>
            </w:r>
            <w:r w:rsidRPr="003A3D94">
              <w:rPr>
                <w:rFonts w:ascii="Times New Roman" w:hAnsi="Times New Roman" w:cs="Times New Roman"/>
                <w:iCs/>
                <w:kern w:val="2"/>
                <w:sz w:val="20"/>
                <w:szCs w:val="20"/>
                <w:vertAlign w:val="superscript"/>
                <w:lang w:eastAsia="zh-CN" w:bidi="hi-IN"/>
              </w:rPr>
              <w:t>1</w:t>
            </w:r>
            <w:r w:rsidRPr="003A3D94">
              <w:rPr>
                <w:rFonts w:ascii="Times New Roman" w:hAnsi="Times New Roman" w:cs="Times New Roman"/>
                <w:iCs/>
                <w:kern w:val="2"/>
                <w:sz w:val="20"/>
                <w:szCs w:val="20"/>
                <w:lang w:eastAsia="zh-CN" w:bidi="hi-IN"/>
              </w:rPr>
              <w:t xml:space="preserve"> järgmises sõnastuses:</w:t>
            </w:r>
          </w:p>
          <w:p w14:paraId="0B54B0C6" w14:textId="00B8470F" w:rsidR="000F59AD" w:rsidRPr="003A3D94" w:rsidRDefault="000F59AD" w:rsidP="000F59AD">
            <w:pPr>
              <w:shd w:val="clear" w:color="auto" w:fill="FFFFFF"/>
              <w:jc w:val="both"/>
              <w:rPr>
                <w:rFonts w:ascii="Times New Roman" w:hAnsi="Times New Roman" w:cs="Times New Roman"/>
                <w:iCs/>
                <w:kern w:val="2"/>
                <w:sz w:val="20"/>
                <w:szCs w:val="20"/>
                <w:lang w:eastAsia="zh-CN" w:bidi="hi-IN"/>
              </w:rPr>
            </w:pPr>
            <w:r w:rsidRPr="003A3D94">
              <w:rPr>
                <w:rFonts w:ascii="Times New Roman" w:hAnsi="Times New Roman" w:cs="Times New Roman"/>
                <w:iCs/>
                <w:kern w:val="2"/>
                <w:sz w:val="20"/>
                <w:szCs w:val="20"/>
                <w:lang w:eastAsia="zh-CN" w:bidi="hi-IN"/>
              </w:rPr>
              <w:t>„(1</w:t>
            </w:r>
            <w:r w:rsidRPr="003A3D94">
              <w:rPr>
                <w:rFonts w:ascii="Times New Roman" w:hAnsi="Times New Roman" w:cs="Times New Roman"/>
                <w:iCs/>
                <w:kern w:val="2"/>
                <w:sz w:val="20"/>
                <w:szCs w:val="20"/>
                <w:vertAlign w:val="superscript"/>
                <w:lang w:eastAsia="zh-CN" w:bidi="hi-IN"/>
              </w:rPr>
              <w:t>1</w:t>
            </w:r>
            <w:r w:rsidRPr="003A3D94">
              <w:rPr>
                <w:rFonts w:ascii="Times New Roman" w:hAnsi="Times New Roman" w:cs="Times New Roman"/>
                <w:iCs/>
                <w:kern w:val="2"/>
                <w:sz w:val="20"/>
                <w:szCs w:val="20"/>
                <w:lang w:eastAsia="zh-CN" w:bidi="hi-IN"/>
              </w:rPr>
              <w:t>) Lõike 1 punktis 17 nimetatud kliimakindluse tagamise hindamise tulemused peavad sisaldama teavet kliimamuutuste leevendamise ehk CO2 jalajälje ning kliimamuutustega kohanemise kohta.“;</w:t>
            </w:r>
          </w:p>
          <w:p w14:paraId="5E6F473F" w14:textId="77777777" w:rsidR="00AB25BA" w:rsidRPr="003A3D94" w:rsidRDefault="00AB25BA" w:rsidP="00A409E0">
            <w:pPr>
              <w:rPr>
                <w:rFonts w:ascii="Times New Roman" w:hAnsi="Times New Roman" w:cs="Times New Roman"/>
                <w:sz w:val="20"/>
                <w:szCs w:val="20"/>
              </w:rPr>
            </w:pPr>
          </w:p>
        </w:tc>
        <w:tc>
          <w:tcPr>
            <w:tcW w:w="3685" w:type="dxa"/>
          </w:tcPr>
          <w:p w14:paraId="786E8C84" w14:textId="77777777" w:rsidR="000F59AD" w:rsidRPr="003A3D94" w:rsidRDefault="000F59AD" w:rsidP="000F59AD">
            <w:pPr>
              <w:rPr>
                <w:rFonts w:ascii="Times New Roman" w:hAnsi="Times New Roman" w:cs="Times New Roman"/>
                <w:sz w:val="20"/>
                <w:szCs w:val="20"/>
              </w:rPr>
            </w:pPr>
            <w:r w:rsidRPr="003A3D94">
              <w:rPr>
                <w:rFonts w:ascii="Times New Roman" w:hAnsi="Times New Roman" w:cs="Times New Roman"/>
                <w:sz w:val="20"/>
                <w:szCs w:val="20"/>
              </w:rPr>
              <w:t>Tundub üleliigne punkt, kuna alati ei ole vaja teha CO2 jalajälje arvutust.</w:t>
            </w:r>
          </w:p>
          <w:p w14:paraId="6E0D2635" w14:textId="77777777" w:rsidR="00AB25BA" w:rsidRPr="003A3D94" w:rsidRDefault="00AB25BA" w:rsidP="00A409E0">
            <w:pPr>
              <w:rPr>
                <w:rFonts w:ascii="Times New Roman" w:hAnsi="Times New Roman" w:cs="Times New Roman"/>
                <w:sz w:val="20"/>
                <w:szCs w:val="20"/>
              </w:rPr>
            </w:pPr>
          </w:p>
        </w:tc>
        <w:tc>
          <w:tcPr>
            <w:tcW w:w="3649" w:type="dxa"/>
          </w:tcPr>
          <w:p w14:paraId="589A9406" w14:textId="6E8E8488" w:rsidR="00A16BC5" w:rsidRPr="003A3D94" w:rsidRDefault="00A16BC5" w:rsidP="00A16BC5">
            <w:pPr>
              <w:rPr>
                <w:rFonts w:ascii="Times New Roman" w:hAnsi="Times New Roman" w:cs="Times New Roman"/>
                <w:sz w:val="20"/>
                <w:szCs w:val="20"/>
              </w:rPr>
            </w:pPr>
            <w:r w:rsidRPr="003A3D94">
              <w:rPr>
                <w:rFonts w:ascii="Times New Roman" w:hAnsi="Times New Roman" w:cs="Times New Roman"/>
                <w:sz w:val="20"/>
                <w:szCs w:val="20"/>
              </w:rPr>
              <w:t>Selgitatud. See punkt täpsustab kliimakindluse tagamise hindamise sisu. Tähelepanek CO2 jalajälje arvutuse kohta on õige, et alati ei ole vaja seda välja arvutada, aga see sätte sõnastus ei nõuagi tingimata arvutamist, vaid võib piirduda selgitusega. Näiteks, kui tegemist on hoone ehitamisega, siis taotleja saabki taotlusvormil selgitada, et hoonete valdkonnas ei ole vaja arvutada CO2 jalajälge ja see ongi „teave CO2 jalajälje kohta“. See säte kohustab ka kliimamuutustega kohanemise teavet esitama ja seda ei saa välja jätta.</w:t>
            </w:r>
          </w:p>
          <w:p w14:paraId="3D2D99D3" w14:textId="77777777" w:rsidR="00A16BC5" w:rsidRPr="003A3D94" w:rsidRDefault="00A16BC5" w:rsidP="00A16BC5">
            <w:pPr>
              <w:rPr>
                <w:rFonts w:ascii="Times New Roman" w:hAnsi="Times New Roman" w:cs="Times New Roman"/>
                <w:sz w:val="20"/>
                <w:szCs w:val="20"/>
              </w:rPr>
            </w:pPr>
          </w:p>
          <w:p w14:paraId="097FB5CB" w14:textId="1972FFDB" w:rsidR="00AB25BA" w:rsidRPr="003A3D94" w:rsidRDefault="00AB25BA" w:rsidP="00A409E0">
            <w:pPr>
              <w:rPr>
                <w:rFonts w:ascii="Times New Roman" w:hAnsi="Times New Roman" w:cs="Times New Roman"/>
                <w:sz w:val="20"/>
                <w:szCs w:val="20"/>
              </w:rPr>
            </w:pPr>
          </w:p>
        </w:tc>
      </w:tr>
      <w:tr w:rsidR="00AB25BA" w:rsidRPr="003A3D94" w14:paraId="4F54A635" w14:textId="77777777" w:rsidTr="003A3D94">
        <w:tc>
          <w:tcPr>
            <w:tcW w:w="689" w:type="dxa"/>
          </w:tcPr>
          <w:p w14:paraId="23CE2A0C" w14:textId="3C8E7AE0"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6</w:t>
            </w:r>
          </w:p>
        </w:tc>
        <w:tc>
          <w:tcPr>
            <w:tcW w:w="1007" w:type="dxa"/>
          </w:tcPr>
          <w:p w14:paraId="372FE367" w14:textId="6FA45090" w:rsidR="00AB25BA" w:rsidRPr="003A3D94" w:rsidRDefault="005F5A72" w:rsidP="00A409E0">
            <w:pPr>
              <w:rPr>
                <w:rFonts w:ascii="Times New Roman" w:hAnsi="Times New Roman" w:cs="Times New Roman"/>
                <w:sz w:val="20"/>
                <w:szCs w:val="20"/>
              </w:rPr>
            </w:pPr>
            <w:r w:rsidRPr="003A3D94">
              <w:rPr>
                <w:rFonts w:ascii="Times New Roman" w:hAnsi="Times New Roman" w:cs="Times New Roman"/>
                <w:sz w:val="20"/>
                <w:szCs w:val="20"/>
              </w:rPr>
              <w:t>RTK, Anneli Kimmel</w:t>
            </w:r>
          </w:p>
        </w:tc>
        <w:tc>
          <w:tcPr>
            <w:tcW w:w="1276" w:type="dxa"/>
          </w:tcPr>
          <w:p w14:paraId="4333C67A" w14:textId="7DA4750C" w:rsidR="00AB25BA" w:rsidRPr="003A3D94" w:rsidRDefault="00F0099D" w:rsidP="00A409E0">
            <w:pPr>
              <w:rPr>
                <w:rFonts w:ascii="Times New Roman" w:hAnsi="Times New Roman" w:cs="Times New Roman"/>
                <w:sz w:val="20"/>
                <w:szCs w:val="20"/>
              </w:rPr>
            </w:pPr>
            <w:r w:rsidRPr="003A3D94">
              <w:rPr>
                <w:rFonts w:ascii="Times New Roman" w:hAnsi="Times New Roman" w:cs="Times New Roman"/>
                <w:sz w:val="20"/>
                <w:szCs w:val="20"/>
              </w:rPr>
              <w:t xml:space="preserve">§ 5 lg </w:t>
            </w:r>
            <w:r w:rsidR="005F5A72" w:rsidRPr="003A3D94">
              <w:rPr>
                <w:rFonts w:ascii="Times New Roman" w:hAnsi="Times New Roman" w:cs="Times New Roman"/>
                <w:sz w:val="20"/>
                <w:szCs w:val="20"/>
              </w:rPr>
              <w:t>3</w:t>
            </w:r>
          </w:p>
        </w:tc>
        <w:tc>
          <w:tcPr>
            <w:tcW w:w="3686" w:type="dxa"/>
          </w:tcPr>
          <w:p w14:paraId="353F1710" w14:textId="77777777" w:rsidR="005F5A72" w:rsidRPr="003A3D94" w:rsidRDefault="005F5A72" w:rsidP="005F5A72">
            <w:pPr>
              <w:ind w:right="6"/>
              <w:rPr>
                <w:rFonts w:ascii="Times New Roman" w:hAnsi="Times New Roman" w:cs="Times New Roman"/>
                <w:sz w:val="20"/>
                <w:szCs w:val="20"/>
              </w:rPr>
            </w:pPr>
            <w:r w:rsidRPr="003A3D94">
              <w:rPr>
                <w:rFonts w:ascii="Times New Roman" w:hAnsi="Times New Roman" w:cs="Times New Roman"/>
                <w:b/>
                <w:bCs/>
                <w:sz w:val="20"/>
                <w:szCs w:val="20"/>
              </w:rPr>
              <w:t>12)</w:t>
            </w:r>
            <w:r w:rsidRPr="003A3D94">
              <w:rPr>
                <w:rFonts w:ascii="Times New Roman" w:hAnsi="Times New Roman" w:cs="Times New Roman"/>
                <w:sz w:val="20"/>
                <w:szCs w:val="20"/>
              </w:rPr>
              <w:t xml:space="preserve"> paragrahvi 5 lõiget 3 täiendatakse pärast sõnu „abikõlblikest otsestest</w:t>
            </w:r>
          </w:p>
          <w:p w14:paraId="506480CD" w14:textId="21E6A991" w:rsidR="005F5A72" w:rsidRPr="003A3D94" w:rsidRDefault="005F5A72" w:rsidP="005F5A72">
            <w:pPr>
              <w:ind w:right="6"/>
              <w:rPr>
                <w:rFonts w:ascii="Times New Roman" w:hAnsi="Times New Roman" w:cs="Times New Roman"/>
                <w:sz w:val="20"/>
                <w:szCs w:val="20"/>
              </w:rPr>
            </w:pPr>
            <w:r w:rsidRPr="003A3D94">
              <w:rPr>
                <w:rFonts w:ascii="Times New Roman" w:hAnsi="Times New Roman" w:cs="Times New Roman"/>
                <w:sz w:val="20"/>
                <w:szCs w:val="20"/>
              </w:rPr>
              <w:t>kuludest“ tekstiosaga „,välja arvatud juhul, kui abi antakse üldise grupierandi määruse artikli  56 alusel. Projekti kaudseteks kuludeks loetakse ühendmääruse § 21 lõikes 6 loetletud kulud.“;</w:t>
            </w:r>
          </w:p>
          <w:p w14:paraId="34520AEA" w14:textId="77777777" w:rsidR="00AB25BA" w:rsidRPr="003A3D94" w:rsidRDefault="00AB25BA" w:rsidP="00A409E0">
            <w:pPr>
              <w:rPr>
                <w:rFonts w:ascii="Times New Roman" w:hAnsi="Times New Roman" w:cs="Times New Roman"/>
                <w:sz w:val="20"/>
                <w:szCs w:val="20"/>
              </w:rPr>
            </w:pPr>
          </w:p>
        </w:tc>
        <w:tc>
          <w:tcPr>
            <w:tcW w:w="3685" w:type="dxa"/>
          </w:tcPr>
          <w:p w14:paraId="375A4C08" w14:textId="77777777" w:rsidR="005F5A72" w:rsidRPr="003A3D94" w:rsidRDefault="005F5A72" w:rsidP="005F5A72">
            <w:pPr>
              <w:rPr>
                <w:rFonts w:ascii="Times New Roman" w:hAnsi="Times New Roman" w:cs="Times New Roman"/>
                <w:sz w:val="20"/>
                <w:szCs w:val="20"/>
              </w:rPr>
            </w:pPr>
            <w:r w:rsidRPr="003A3D94">
              <w:rPr>
                <w:rFonts w:ascii="Times New Roman" w:hAnsi="Times New Roman" w:cs="Times New Roman"/>
                <w:sz w:val="20"/>
                <w:szCs w:val="20"/>
              </w:rPr>
              <w:t xml:space="preserve">§ 7 lõikes 3 on öeldud, et „ Projekti kaudsed kulud arvestatakse ühtse määra alusel vastavalt ühendmääruse § 21 lõigetele 1 ja 4“. Ühendmääruse § 21 lõike 4 kohaselt „(4) Projekti kaudseteks kuludeks loetakse lõikes 5 nimetatud üldkulud ja lõikes 6 nimetatud tegevustega seotud § 16 lõikes 1 nimetatud personalikulud.“ Ehk et § 7 lõike 3 sõnastuse kohaselt tuleb kaudsete kulude </w:t>
            </w:r>
            <w:r w:rsidRPr="003A3D94">
              <w:rPr>
                <w:rFonts w:ascii="Times New Roman" w:hAnsi="Times New Roman" w:cs="Times New Roman"/>
                <w:sz w:val="20"/>
                <w:szCs w:val="20"/>
              </w:rPr>
              <w:lastRenderedPageBreak/>
              <w:t xml:space="preserve">alla lugeda ka ÜM § 21 lõikes 5 nimetatud üldkulud. </w:t>
            </w:r>
          </w:p>
          <w:p w14:paraId="1E239A96" w14:textId="77777777" w:rsidR="005F5A72" w:rsidRPr="003A3D94" w:rsidRDefault="005F5A72" w:rsidP="005F5A72">
            <w:pPr>
              <w:rPr>
                <w:rFonts w:ascii="Times New Roman" w:hAnsi="Times New Roman" w:cs="Times New Roman"/>
                <w:sz w:val="20"/>
                <w:szCs w:val="20"/>
              </w:rPr>
            </w:pPr>
            <w:r w:rsidRPr="003A3D94">
              <w:rPr>
                <w:rFonts w:ascii="Times New Roman" w:hAnsi="Times New Roman" w:cs="Times New Roman"/>
                <w:sz w:val="20"/>
                <w:szCs w:val="20"/>
              </w:rPr>
              <w:t>Ettepanek segaduste vältimiseks sätestada üheselt kas kaudsed kulud on kulud, mis vastavad ÜM § 21 lõigetes 5 ja 6 toodule või siis ainult ÜM § 21 lõikes 6 sätestatud kulud.</w:t>
            </w:r>
          </w:p>
          <w:p w14:paraId="4A798F9E" w14:textId="77777777" w:rsidR="00AB25BA" w:rsidRPr="003A3D94" w:rsidRDefault="00AB25BA" w:rsidP="00A409E0">
            <w:pPr>
              <w:rPr>
                <w:rFonts w:ascii="Times New Roman" w:hAnsi="Times New Roman" w:cs="Times New Roman"/>
                <w:sz w:val="20"/>
                <w:szCs w:val="20"/>
              </w:rPr>
            </w:pPr>
          </w:p>
        </w:tc>
        <w:tc>
          <w:tcPr>
            <w:tcW w:w="3649" w:type="dxa"/>
          </w:tcPr>
          <w:p w14:paraId="15187634" w14:textId="066CCF27" w:rsidR="00AB25BA" w:rsidRPr="003A3D94" w:rsidRDefault="005F5A72" w:rsidP="00A409E0">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Arvestatud. Uus sõnastus: „Projekti kaudseteks kuludeks loetakse ühendmääruse § 21 lõigetes </w:t>
            </w:r>
            <w:r w:rsidR="00C762BD" w:rsidRPr="003A3D94">
              <w:rPr>
                <w:rFonts w:ascii="Times New Roman" w:hAnsi="Times New Roman" w:cs="Times New Roman"/>
                <w:sz w:val="20"/>
                <w:szCs w:val="20"/>
              </w:rPr>
              <w:t>4-</w:t>
            </w:r>
            <w:r w:rsidRPr="003A3D94">
              <w:rPr>
                <w:rFonts w:ascii="Times New Roman" w:hAnsi="Times New Roman" w:cs="Times New Roman"/>
                <w:sz w:val="20"/>
                <w:szCs w:val="20"/>
              </w:rPr>
              <w:t>6 loetletud kulud“.</w:t>
            </w:r>
          </w:p>
          <w:p w14:paraId="24C45D22" w14:textId="77777777" w:rsidR="005F5A72" w:rsidRPr="003A3D94" w:rsidRDefault="005F5A72" w:rsidP="00A409E0">
            <w:pPr>
              <w:rPr>
                <w:rFonts w:ascii="Times New Roman" w:hAnsi="Times New Roman" w:cs="Times New Roman"/>
                <w:sz w:val="20"/>
                <w:szCs w:val="20"/>
              </w:rPr>
            </w:pPr>
          </w:p>
          <w:p w14:paraId="34878DB8" w14:textId="45444AEB" w:rsidR="005F5A72" w:rsidRPr="003A3D94" w:rsidRDefault="005F5A72" w:rsidP="00A409E0">
            <w:pPr>
              <w:rPr>
                <w:rFonts w:ascii="Times New Roman" w:hAnsi="Times New Roman" w:cs="Times New Roman"/>
                <w:sz w:val="20"/>
                <w:szCs w:val="20"/>
              </w:rPr>
            </w:pPr>
          </w:p>
        </w:tc>
      </w:tr>
      <w:tr w:rsidR="00182069" w:rsidRPr="003A3D94" w14:paraId="36884684" w14:textId="77777777" w:rsidTr="003A3D94">
        <w:tc>
          <w:tcPr>
            <w:tcW w:w="689" w:type="dxa"/>
          </w:tcPr>
          <w:p w14:paraId="0E0A6FEB" w14:textId="77777777" w:rsidR="00182069" w:rsidRPr="003A3D94" w:rsidRDefault="00182069" w:rsidP="00A409E0">
            <w:pPr>
              <w:rPr>
                <w:rFonts w:ascii="Times New Roman" w:hAnsi="Times New Roman" w:cs="Times New Roman"/>
                <w:sz w:val="20"/>
                <w:szCs w:val="20"/>
              </w:rPr>
            </w:pPr>
          </w:p>
        </w:tc>
        <w:tc>
          <w:tcPr>
            <w:tcW w:w="1007" w:type="dxa"/>
          </w:tcPr>
          <w:p w14:paraId="417452FA" w14:textId="07CDF603" w:rsidR="00182069" w:rsidRPr="003A3D94" w:rsidRDefault="00E50213" w:rsidP="00A409E0">
            <w:pPr>
              <w:rPr>
                <w:rFonts w:ascii="Times New Roman" w:hAnsi="Times New Roman" w:cs="Times New Roman"/>
                <w:sz w:val="20"/>
                <w:szCs w:val="20"/>
              </w:rPr>
            </w:pPr>
            <w:r w:rsidRPr="003A3D94">
              <w:rPr>
                <w:rFonts w:ascii="Times New Roman" w:hAnsi="Times New Roman" w:cs="Times New Roman"/>
                <w:sz w:val="20"/>
                <w:szCs w:val="20"/>
              </w:rPr>
              <w:t xml:space="preserve">REM, </w:t>
            </w:r>
            <w:r w:rsidR="00182069" w:rsidRPr="003A3D94">
              <w:rPr>
                <w:rFonts w:ascii="Times New Roman" w:hAnsi="Times New Roman" w:cs="Times New Roman"/>
                <w:sz w:val="20"/>
                <w:szCs w:val="20"/>
              </w:rPr>
              <w:t>Katrin</w:t>
            </w:r>
            <w:r w:rsidRPr="003A3D94">
              <w:rPr>
                <w:rFonts w:ascii="Times New Roman" w:hAnsi="Times New Roman" w:cs="Times New Roman"/>
                <w:sz w:val="20"/>
                <w:szCs w:val="20"/>
              </w:rPr>
              <w:t xml:space="preserve"> Orgusaar</w:t>
            </w:r>
          </w:p>
        </w:tc>
        <w:tc>
          <w:tcPr>
            <w:tcW w:w="1276" w:type="dxa"/>
          </w:tcPr>
          <w:p w14:paraId="26A01B09" w14:textId="6A57C6C3" w:rsidR="00182069" w:rsidRPr="003A3D94" w:rsidRDefault="00182069" w:rsidP="00A409E0">
            <w:pPr>
              <w:rPr>
                <w:rFonts w:ascii="Times New Roman" w:hAnsi="Times New Roman" w:cs="Times New Roman"/>
                <w:sz w:val="20"/>
                <w:szCs w:val="20"/>
              </w:rPr>
            </w:pPr>
            <w:r w:rsidRPr="003A3D94">
              <w:rPr>
                <w:rFonts w:ascii="Times New Roman" w:hAnsi="Times New Roman" w:cs="Times New Roman"/>
                <w:sz w:val="20"/>
                <w:szCs w:val="20"/>
              </w:rPr>
              <w:t xml:space="preserve">§ 5 lg </w:t>
            </w:r>
            <w:r w:rsidR="00E50213" w:rsidRPr="003A3D94">
              <w:rPr>
                <w:rFonts w:ascii="Times New Roman" w:hAnsi="Times New Roman" w:cs="Times New Roman"/>
                <w:sz w:val="20"/>
                <w:szCs w:val="20"/>
              </w:rPr>
              <w:t xml:space="preserve">7 </w:t>
            </w:r>
            <w:r w:rsidR="007310F5" w:rsidRPr="003A3D94">
              <w:rPr>
                <w:rFonts w:ascii="Times New Roman" w:hAnsi="Times New Roman" w:cs="Times New Roman"/>
                <w:sz w:val="20"/>
                <w:szCs w:val="20"/>
              </w:rPr>
              <w:t>-</w:t>
            </w:r>
            <w:r w:rsidRPr="003A3D94">
              <w:rPr>
                <w:rFonts w:ascii="Times New Roman" w:hAnsi="Times New Roman" w:cs="Times New Roman"/>
                <w:sz w:val="20"/>
                <w:szCs w:val="20"/>
              </w:rPr>
              <w:t>8</w:t>
            </w:r>
          </w:p>
        </w:tc>
        <w:tc>
          <w:tcPr>
            <w:tcW w:w="3686" w:type="dxa"/>
          </w:tcPr>
          <w:p w14:paraId="4D943D40" w14:textId="77777777" w:rsidR="00182069" w:rsidRPr="003A3D94" w:rsidRDefault="00182069" w:rsidP="00182069">
            <w:pPr>
              <w:ind w:right="6"/>
              <w:rPr>
                <w:rFonts w:ascii="Times New Roman" w:hAnsi="Times New Roman" w:cs="Times New Roman"/>
                <w:strike/>
                <w:sz w:val="20"/>
                <w:szCs w:val="20"/>
              </w:rPr>
            </w:pPr>
            <w:r w:rsidRPr="003A3D94">
              <w:rPr>
                <w:rFonts w:ascii="Times New Roman" w:hAnsi="Times New Roman" w:cs="Times New Roman"/>
                <w:sz w:val="20"/>
                <w:szCs w:val="20"/>
              </w:rPr>
              <w:t xml:space="preserve">(8)  Lõikes  7  nimetatud  </w:t>
            </w:r>
            <w:bookmarkStart w:id="3" w:name="_Hlk167278599"/>
            <w:r w:rsidRPr="003A3D94">
              <w:rPr>
                <w:rFonts w:ascii="Times New Roman" w:hAnsi="Times New Roman" w:cs="Times New Roman"/>
                <w:sz w:val="20"/>
                <w:szCs w:val="20"/>
              </w:rPr>
              <w:t xml:space="preserve">ehitustööde  ettevalmistamisega  seotud kulud  võivad  kokku  moodustada  kuni  kümme  protsenti  projekti investeeringute abikõlblike kulude kogumahust. </w:t>
            </w:r>
            <w:bookmarkEnd w:id="3"/>
            <w:r w:rsidRPr="003A3D94">
              <w:rPr>
                <w:rFonts w:ascii="Times New Roman" w:hAnsi="Times New Roman" w:cs="Times New Roman"/>
                <w:strike/>
                <w:sz w:val="20"/>
                <w:szCs w:val="20"/>
              </w:rPr>
              <w:t>Kui rakendusüksus teeb taotluse rahuldamata jätmise otsuse, siis toetuse taotleja tehtud kulusid toetusest ei kaeta.</w:t>
            </w:r>
          </w:p>
          <w:p w14:paraId="6739F66B" w14:textId="77777777" w:rsidR="00182069" w:rsidRPr="003A3D94" w:rsidRDefault="00182069" w:rsidP="005F5A72">
            <w:pPr>
              <w:ind w:right="6"/>
              <w:rPr>
                <w:rFonts w:ascii="Times New Roman" w:hAnsi="Times New Roman" w:cs="Times New Roman"/>
                <w:b/>
                <w:bCs/>
                <w:sz w:val="20"/>
                <w:szCs w:val="20"/>
              </w:rPr>
            </w:pPr>
          </w:p>
        </w:tc>
        <w:tc>
          <w:tcPr>
            <w:tcW w:w="3685" w:type="dxa"/>
          </w:tcPr>
          <w:p w14:paraId="73766AE7" w14:textId="4284FEB8" w:rsidR="00182069" w:rsidRPr="003A3D94" w:rsidRDefault="00182069" w:rsidP="00182069">
            <w:pPr>
              <w:rPr>
                <w:rFonts w:ascii="Times New Roman" w:hAnsi="Times New Roman" w:cs="Times New Roman"/>
                <w:sz w:val="20"/>
                <w:szCs w:val="20"/>
              </w:rPr>
            </w:pPr>
            <w:r w:rsidRPr="003A3D94">
              <w:rPr>
                <w:rFonts w:ascii="Times New Roman" w:hAnsi="Times New Roman" w:cs="Times New Roman"/>
                <w:sz w:val="20"/>
                <w:szCs w:val="20"/>
              </w:rPr>
              <w:t>Kui mitu protsenti võivad muud ettevalmistavad kulud moodustada? Kui RÜ teeb taotluse rahuldamata jätmise otsuse, kas siis ei maksta tagasi</w:t>
            </w:r>
            <w:r w:rsidR="00E50213" w:rsidRPr="003A3D94">
              <w:rPr>
                <w:rFonts w:ascii="Times New Roman" w:hAnsi="Times New Roman" w:cs="Times New Roman"/>
                <w:sz w:val="20"/>
                <w:szCs w:val="20"/>
              </w:rPr>
              <w:t xml:space="preserve"> </w:t>
            </w:r>
            <w:r w:rsidRPr="003A3D94">
              <w:rPr>
                <w:rFonts w:ascii="Times New Roman" w:hAnsi="Times New Roman" w:cs="Times New Roman"/>
                <w:sz w:val="20"/>
                <w:szCs w:val="20"/>
              </w:rPr>
              <w:t>ühtegi enne taotluse rahuldamise otsust tehtud kulu või ei maksta tagasi ainult ehitustööde ettevalmistamisega seotud kulusid?</w:t>
            </w:r>
          </w:p>
          <w:p w14:paraId="35AF5205" w14:textId="77777777" w:rsidR="00182069" w:rsidRPr="003A3D94" w:rsidRDefault="00182069" w:rsidP="005F5A72">
            <w:pPr>
              <w:rPr>
                <w:rFonts w:ascii="Times New Roman" w:hAnsi="Times New Roman" w:cs="Times New Roman"/>
                <w:sz w:val="20"/>
                <w:szCs w:val="20"/>
              </w:rPr>
            </w:pPr>
          </w:p>
        </w:tc>
        <w:tc>
          <w:tcPr>
            <w:tcW w:w="3649" w:type="dxa"/>
          </w:tcPr>
          <w:p w14:paraId="78B1816C" w14:textId="2E2E6618" w:rsidR="00182069" w:rsidRPr="003A3D94" w:rsidRDefault="00F6732A" w:rsidP="00A409E0">
            <w:pPr>
              <w:rPr>
                <w:rFonts w:ascii="Times New Roman" w:hAnsi="Times New Roman" w:cs="Times New Roman"/>
                <w:sz w:val="20"/>
                <w:szCs w:val="20"/>
              </w:rPr>
            </w:pPr>
            <w:r w:rsidRPr="003A3D94">
              <w:rPr>
                <w:rFonts w:ascii="Times New Roman" w:hAnsi="Times New Roman" w:cs="Times New Roman"/>
                <w:sz w:val="20"/>
                <w:szCs w:val="20"/>
              </w:rPr>
              <w:t>Muudele ettevalmistavatele kuludele lage seatud ei ole. Taotluse rahuldamata jätmise otsuse korral jäävad kõik tehtud kulud taotleja kanda.</w:t>
            </w:r>
          </w:p>
          <w:p w14:paraId="77D88007" w14:textId="77777777" w:rsidR="00F6732A" w:rsidRPr="003A3D94" w:rsidRDefault="00F6732A" w:rsidP="00A409E0">
            <w:pPr>
              <w:rPr>
                <w:rFonts w:ascii="Times New Roman" w:hAnsi="Times New Roman" w:cs="Times New Roman"/>
                <w:sz w:val="20"/>
                <w:szCs w:val="20"/>
              </w:rPr>
            </w:pPr>
          </w:p>
          <w:p w14:paraId="21EA59EB" w14:textId="5FC67B07" w:rsidR="00F6732A" w:rsidRPr="003A3D94" w:rsidRDefault="008D63CD" w:rsidP="00A409E0">
            <w:pPr>
              <w:rPr>
                <w:rFonts w:ascii="Times New Roman" w:hAnsi="Times New Roman" w:cs="Times New Roman"/>
                <w:sz w:val="20"/>
                <w:szCs w:val="20"/>
              </w:rPr>
            </w:pPr>
            <w:r>
              <w:rPr>
                <w:rFonts w:ascii="Times New Roman" w:hAnsi="Times New Roman" w:cs="Times New Roman"/>
                <w:sz w:val="20"/>
                <w:szCs w:val="20"/>
              </w:rPr>
              <w:t>S</w:t>
            </w:r>
            <w:r w:rsidR="00F6732A" w:rsidRPr="003A3D94">
              <w:rPr>
                <w:rFonts w:ascii="Times New Roman" w:hAnsi="Times New Roman" w:cs="Times New Roman"/>
                <w:sz w:val="20"/>
                <w:szCs w:val="20"/>
              </w:rPr>
              <w:t xml:space="preserve">eoses sellega, et enne taotluse esitamist tehtavate kulude ringi on laiendatud, sobib lõike 8 viimane lause paremini lõikesse 7, sest </w:t>
            </w:r>
            <w:r w:rsidR="00D76762" w:rsidRPr="003A3D94">
              <w:rPr>
                <w:rFonts w:ascii="Times New Roman" w:hAnsi="Times New Roman" w:cs="Times New Roman"/>
                <w:sz w:val="20"/>
                <w:szCs w:val="20"/>
              </w:rPr>
              <w:t xml:space="preserve">hõlmab </w:t>
            </w:r>
            <w:r w:rsidR="00F6732A" w:rsidRPr="003A3D94">
              <w:rPr>
                <w:rFonts w:ascii="Times New Roman" w:hAnsi="Times New Roman" w:cs="Times New Roman"/>
                <w:sz w:val="20"/>
                <w:szCs w:val="20"/>
              </w:rPr>
              <w:t>kõiki enne taotluse rahuldamise otsust tehtud kulusid.</w:t>
            </w:r>
          </w:p>
        </w:tc>
      </w:tr>
      <w:tr w:rsidR="00AB25BA" w:rsidRPr="003A3D94" w14:paraId="2B4AB5AD" w14:textId="77777777" w:rsidTr="003A3D94">
        <w:tc>
          <w:tcPr>
            <w:tcW w:w="689" w:type="dxa"/>
          </w:tcPr>
          <w:p w14:paraId="73AF5683" w14:textId="410CB2F3"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7</w:t>
            </w:r>
          </w:p>
        </w:tc>
        <w:tc>
          <w:tcPr>
            <w:tcW w:w="1007" w:type="dxa"/>
          </w:tcPr>
          <w:p w14:paraId="2896CD96" w14:textId="1B3FF32D" w:rsidR="00AB25BA" w:rsidRPr="003A3D94" w:rsidRDefault="00D1607F" w:rsidP="00A409E0">
            <w:pPr>
              <w:rPr>
                <w:rFonts w:ascii="Times New Roman" w:hAnsi="Times New Roman" w:cs="Times New Roman"/>
                <w:sz w:val="20"/>
                <w:szCs w:val="20"/>
              </w:rPr>
            </w:pPr>
            <w:r w:rsidRPr="003A3D94">
              <w:rPr>
                <w:rFonts w:ascii="Times New Roman" w:hAnsi="Times New Roman" w:cs="Times New Roman"/>
                <w:sz w:val="20"/>
                <w:szCs w:val="20"/>
              </w:rPr>
              <w:t>RTK, Anneli Kimmel</w:t>
            </w:r>
          </w:p>
        </w:tc>
        <w:tc>
          <w:tcPr>
            <w:tcW w:w="1276" w:type="dxa"/>
          </w:tcPr>
          <w:p w14:paraId="3C59BFD8" w14:textId="6A56801D" w:rsidR="00AB25BA" w:rsidRPr="003A3D94" w:rsidRDefault="00D1607F" w:rsidP="00A409E0">
            <w:pPr>
              <w:rPr>
                <w:rFonts w:ascii="Times New Roman" w:hAnsi="Times New Roman" w:cs="Times New Roman"/>
                <w:sz w:val="20"/>
                <w:szCs w:val="20"/>
              </w:rPr>
            </w:pPr>
            <w:r w:rsidRPr="003A3D94">
              <w:rPr>
                <w:rFonts w:ascii="Times New Roman" w:hAnsi="Times New Roman" w:cs="Times New Roman"/>
                <w:sz w:val="20"/>
                <w:szCs w:val="20"/>
              </w:rPr>
              <w:t>§ 11 lg 2</w:t>
            </w:r>
            <w:r w:rsidR="00B45C58" w:rsidRPr="003A3D94">
              <w:rPr>
                <w:rFonts w:ascii="Times New Roman" w:hAnsi="Times New Roman" w:cs="Times New Roman"/>
                <w:sz w:val="20"/>
                <w:szCs w:val="20"/>
              </w:rPr>
              <w:t>-</w:t>
            </w:r>
            <w:r w:rsidRPr="003A3D94">
              <w:rPr>
                <w:rFonts w:ascii="Times New Roman" w:hAnsi="Times New Roman" w:cs="Times New Roman"/>
                <w:sz w:val="20"/>
                <w:szCs w:val="20"/>
              </w:rPr>
              <w:t>3</w:t>
            </w:r>
          </w:p>
        </w:tc>
        <w:tc>
          <w:tcPr>
            <w:tcW w:w="3686" w:type="dxa"/>
          </w:tcPr>
          <w:p w14:paraId="5A219ED4" w14:textId="77777777" w:rsidR="00AB25BA" w:rsidRPr="003A3D94" w:rsidRDefault="00AB25BA" w:rsidP="00A409E0">
            <w:pPr>
              <w:rPr>
                <w:rFonts w:ascii="Times New Roman" w:hAnsi="Times New Roman" w:cs="Times New Roman"/>
                <w:sz w:val="20"/>
                <w:szCs w:val="20"/>
              </w:rPr>
            </w:pPr>
          </w:p>
        </w:tc>
        <w:tc>
          <w:tcPr>
            <w:tcW w:w="3685" w:type="dxa"/>
          </w:tcPr>
          <w:p w14:paraId="37016740" w14:textId="77777777" w:rsidR="00D1607F" w:rsidRPr="003A3D94" w:rsidRDefault="00D1607F" w:rsidP="00D1607F">
            <w:pPr>
              <w:rPr>
                <w:rFonts w:ascii="Times New Roman" w:hAnsi="Times New Roman" w:cs="Times New Roman"/>
                <w:sz w:val="20"/>
                <w:szCs w:val="20"/>
              </w:rPr>
            </w:pPr>
            <w:r w:rsidRPr="003A3D94">
              <w:rPr>
                <w:rFonts w:ascii="Times New Roman" w:hAnsi="Times New Roman" w:cs="Times New Roman"/>
                <w:sz w:val="20"/>
                <w:szCs w:val="20"/>
              </w:rPr>
              <w:t xml:space="preserve">Kuna maksimaalne toetuse summa § 10 lg 2 kohaselt võib olla 1,5 miljonit, siis võib eeldada, et peaaegu kõik projektid võivad kasutada grupierandi määruses toodud võimalust, et toetuse summa arvutatakse %-na abikõlblikest kuludest, mistõttu palun üle vaadata p. 20 toodud § 11 lg 2 ja 3 sõnastused, sest sõnastus „… kuni 2,2 miljoni euro suuruse abi puhul võib abi ülemmäär olla 80% abikõlblikest kuludest“ võib tekitada segadust, kuna § 10 lõike 3 kohaselt võib maksimaalne toetuse määr olla 60 või 70% sõltuvalt asukoha maakonnast. </w:t>
            </w:r>
          </w:p>
          <w:p w14:paraId="4BE2DDAA" w14:textId="77777777" w:rsidR="00D1607F" w:rsidRPr="003A3D94" w:rsidRDefault="00D1607F" w:rsidP="00D1607F">
            <w:pPr>
              <w:rPr>
                <w:rFonts w:ascii="Times New Roman" w:hAnsi="Times New Roman" w:cs="Times New Roman"/>
                <w:sz w:val="20"/>
                <w:szCs w:val="20"/>
              </w:rPr>
            </w:pPr>
            <w:r w:rsidRPr="003A3D94">
              <w:rPr>
                <w:rFonts w:ascii="Times New Roman" w:hAnsi="Times New Roman" w:cs="Times New Roman"/>
                <w:sz w:val="20"/>
                <w:szCs w:val="20"/>
              </w:rPr>
              <w:t xml:space="preserve">Taotlejana on valiku ees kas peaks arvutama nt 70% abikõlblikest kuludest nagu näeb ette § 10 lg 3 või lähtuma uuest sõnastusest, mis lubab 80% abikõlblikest kuludest? </w:t>
            </w:r>
          </w:p>
          <w:p w14:paraId="595E8D4F" w14:textId="77777777" w:rsidR="00D1607F" w:rsidRPr="003A3D94" w:rsidRDefault="00D1607F" w:rsidP="00D1607F">
            <w:pPr>
              <w:rPr>
                <w:rFonts w:ascii="Times New Roman" w:hAnsi="Times New Roman" w:cs="Times New Roman"/>
                <w:sz w:val="20"/>
                <w:szCs w:val="20"/>
              </w:rPr>
            </w:pPr>
            <w:r w:rsidRPr="003A3D94">
              <w:rPr>
                <w:rFonts w:ascii="Times New Roman" w:hAnsi="Times New Roman" w:cs="Times New Roman"/>
                <w:sz w:val="20"/>
                <w:szCs w:val="20"/>
              </w:rPr>
              <w:t xml:space="preserve">Lisaks palun seletuskirjas avada, millisel juhul võib taotleja valida võimaluse </w:t>
            </w:r>
            <w:r w:rsidRPr="003A3D94">
              <w:rPr>
                <w:rFonts w:ascii="Times New Roman" w:hAnsi="Times New Roman" w:cs="Times New Roman"/>
                <w:sz w:val="20"/>
                <w:szCs w:val="20"/>
              </w:rPr>
              <w:lastRenderedPageBreak/>
              <w:t>arvutada toetuse summa %-na abikõlblikest kuludest ja millisel juhul tuleb toetusesumma arvutada abikõlblike kulude ja investeeringu tegevuskasumi vahena. See on oluline hindamise seisukohalt, st eesmärk peaks olema, et projektid on omavahel võrreldavad.</w:t>
            </w:r>
          </w:p>
          <w:p w14:paraId="56D7114B" w14:textId="77777777" w:rsidR="00AB25BA" w:rsidRPr="003A3D94" w:rsidRDefault="00AB25BA" w:rsidP="00A409E0">
            <w:pPr>
              <w:rPr>
                <w:rFonts w:ascii="Times New Roman" w:hAnsi="Times New Roman" w:cs="Times New Roman"/>
                <w:sz w:val="20"/>
                <w:szCs w:val="20"/>
              </w:rPr>
            </w:pPr>
          </w:p>
        </w:tc>
        <w:tc>
          <w:tcPr>
            <w:tcW w:w="3649" w:type="dxa"/>
          </w:tcPr>
          <w:p w14:paraId="3BADDE52" w14:textId="660F9234" w:rsidR="000207E2" w:rsidRPr="003A3D94" w:rsidRDefault="00F468EF" w:rsidP="00C47E58">
            <w:pPr>
              <w:rPr>
                <w:rFonts w:ascii="Times New Roman" w:hAnsi="Times New Roman" w:cs="Times New Roman"/>
                <w:sz w:val="20"/>
                <w:szCs w:val="20"/>
              </w:rPr>
            </w:pPr>
            <w:r w:rsidRPr="003A3D94">
              <w:rPr>
                <w:rFonts w:ascii="Times New Roman" w:hAnsi="Times New Roman" w:cs="Times New Roman"/>
                <w:color w:val="000000"/>
                <w:sz w:val="20"/>
                <w:szCs w:val="20"/>
                <w:shd w:val="clear" w:color="auto" w:fill="FFFFFF"/>
              </w:rPr>
              <w:lastRenderedPageBreak/>
              <w:t xml:space="preserve">Selgitatud. </w:t>
            </w:r>
            <w:bookmarkStart w:id="4" w:name="_Hlk171524385"/>
            <w:commentRangeStart w:id="5"/>
            <w:r w:rsidR="000207E2" w:rsidRPr="003A3D94">
              <w:rPr>
                <w:rFonts w:ascii="Times New Roman" w:hAnsi="Times New Roman" w:cs="Times New Roman"/>
                <w:color w:val="000000"/>
                <w:sz w:val="20"/>
                <w:szCs w:val="20"/>
                <w:shd w:val="clear" w:color="auto" w:fill="FFFFFF"/>
              </w:rPr>
              <w:t xml:space="preserve">1.07.2023 jõustunud grupierandi </w:t>
            </w:r>
            <w:r w:rsidRPr="003A3D94">
              <w:rPr>
                <w:rFonts w:ascii="Times New Roman" w:hAnsi="Times New Roman" w:cs="Times New Roman"/>
                <w:color w:val="000000"/>
                <w:sz w:val="20"/>
                <w:szCs w:val="20"/>
                <w:shd w:val="clear" w:color="auto" w:fill="FFFFFF"/>
              </w:rPr>
              <w:t>m</w:t>
            </w:r>
            <w:r w:rsidR="000207E2" w:rsidRPr="003A3D94">
              <w:rPr>
                <w:rFonts w:ascii="Times New Roman" w:hAnsi="Times New Roman" w:cs="Times New Roman"/>
                <w:color w:val="000000"/>
                <w:sz w:val="20"/>
                <w:szCs w:val="20"/>
                <w:shd w:val="clear" w:color="auto" w:fill="FFFFFF"/>
              </w:rPr>
              <w:t>ääruse </w:t>
            </w:r>
            <w:r w:rsidR="000207E2" w:rsidRPr="003A3D94">
              <w:rPr>
                <w:rStyle w:val="Strong"/>
                <w:rFonts w:ascii="Times New Roman" w:hAnsi="Times New Roman" w:cs="Times New Roman"/>
                <w:b w:val="0"/>
                <w:bCs w:val="0"/>
                <w:color w:val="000000"/>
                <w:sz w:val="20"/>
                <w:szCs w:val="20"/>
                <w:shd w:val="clear" w:color="auto" w:fill="FFFFFF"/>
              </w:rPr>
              <w:t>uued</w:t>
            </w:r>
            <w:r w:rsidR="000207E2" w:rsidRPr="003A3D94">
              <w:rPr>
                <w:rFonts w:ascii="Times New Roman" w:hAnsi="Times New Roman" w:cs="Times New Roman"/>
                <w:color w:val="000000"/>
                <w:sz w:val="20"/>
                <w:szCs w:val="20"/>
                <w:shd w:val="clear" w:color="auto" w:fill="FFFFFF"/>
              </w:rPr>
              <w:t> muudatused (kehtestatud 23.06.2023 määrusega (EL) 2023/1315)</w:t>
            </w:r>
            <w:commentRangeEnd w:id="5"/>
            <w:r w:rsidR="00756F34" w:rsidRPr="003A3D94">
              <w:rPr>
                <w:rStyle w:val="CommentReference"/>
                <w:rFonts w:ascii="Times New Roman" w:hAnsi="Times New Roman" w:cs="Times New Roman"/>
                <w:kern w:val="1"/>
                <w:sz w:val="20"/>
                <w:szCs w:val="20"/>
                <w:lang w:eastAsia="zh-CN" w:bidi="hi-IN"/>
              </w:rPr>
              <w:commentReference w:id="5"/>
            </w:r>
            <w:r w:rsidR="000207E2" w:rsidRPr="003A3D94">
              <w:rPr>
                <w:rFonts w:ascii="Times New Roman" w:hAnsi="Times New Roman" w:cs="Times New Roman"/>
                <w:color w:val="000000"/>
                <w:sz w:val="20"/>
                <w:szCs w:val="20"/>
                <w:shd w:val="clear" w:color="auto" w:fill="FFFFFF"/>
              </w:rPr>
              <w:t xml:space="preserve"> näevad ette, et </w:t>
            </w:r>
            <w:r w:rsidR="000207E2" w:rsidRPr="003A3D94">
              <w:rPr>
                <w:rFonts w:ascii="Times New Roman" w:hAnsi="Times New Roman" w:cs="Times New Roman"/>
                <w:sz w:val="20"/>
                <w:szCs w:val="20"/>
              </w:rPr>
              <w:t>kuni 2,2 miljoni euro suuruse abi puhul võib abi ülemmäär olla 80 % abikõlblikest kuludest alternatiivina lõigetes 6 ja 7 osutatud meetodi kohaldamisele.</w:t>
            </w:r>
            <w:bookmarkEnd w:id="4"/>
          </w:p>
          <w:p w14:paraId="304F7CF2" w14:textId="77777777" w:rsidR="000207E2" w:rsidRPr="003A3D94" w:rsidRDefault="000207E2" w:rsidP="00C47E58">
            <w:pPr>
              <w:rPr>
                <w:rFonts w:ascii="Times New Roman" w:hAnsi="Times New Roman" w:cs="Times New Roman"/>
                <w:sz w:val="20"/>
                <w:szCs w:val="20"/>
              </w:rPr>
            </w:pPr>
          </w:p>
          <w:p w14:paraId="3E526EFA" w14:textId="7EB4F745" w:rsidR="000207E2" w:rsidRPr="003A3D94" w:rsidRDefault="000207E2" w:rsidP="00C47E58">
            <w:pPr>
              <w:rPr>
                <w:rFonts w:ascii="Times New Roman" w:hAnsi="Times New Roman" w:cs="Times New Roman"/>
                <w:sz w:val="20"/>
                <w:szCs w:val="20"/>
              </w:rPr>
            </w:pPr>
            <w:r w:rsidRPr="003A3D94">
              <w:rPr>
                <w:rFonts w:ascii="Times New Roman" w:hAnsi="Times New Roman" w:cs="Times New Roman"/>
                <w:sz w:val="20"/>
                <w:szCs w:val="20"/>
              </w:rPr>
              <w:t xml:space="preserve">Üldjuhul jääb </w:t>
            </w:r>
            <w:r w:rsidR="00F468EF" w:rsidRPr="003A3D94">
              <w:rPr>
                <w:rFonts w:ascii="Times New Roman" w:hAnsi="Times New Roman" w:cs="Times New Roman"/>
                <w:sz w:val="20"/>
                <w:szCs w:val="20"/>
              </w:rPr>
              <w:t xml:space="preserve">antud meetmes </w:t>
            </w:r>
            <w:r w:rsidRPr="003A3D94">
              <w:rPr>
                <w:rFonts w:ascii="Times New Roman" w:hAnsi="Times New Roman" w:cs="Times New Roman"/>
                <w:sz w:val="20"/>
                <w:szCs w:val="20"/>
              </w:rPr>
              <w:t>abi summa sellest piirmäärast väiksema</w:t>
            </w:r>
            <w:r w:rsidR="009F1B98" w:rsidRPr="003A3D94">
              <w:rPr>
                <w:rFonts w:ascii="Times New Roman" w:hAnsi="Times New Roman" w:cs="Times New Roman"/>
                <w:sz w:val="20"/>
                <w:szCs w:val="20"/>
              </w:rPr>
              <w:t>ks</w:t>
            </w:r>
            <w:r w:rsidRPr="003A3D94">
              <w:rPr>
                <w:rFonts w:ascii="Times New Roman" w:hAnsi="Times New Roman" w:cs="Times New Roman"/>
                <w:sz w:val="20"/>
                <w:szCs w:val="20"/>
              </w:rPr>
              <w:t xml:space="preserve"> ning grupirandi määruse art 53 lõigete </w:t>
            </w:r>
            <w:r w:rsidRPr="003A3D94">
              <w:rPr>
                <w:rFonts w:ascii="Times New Roman" w:hAnsi="Times New Roman" w:cs="Times New Roman"/>
                <w:color w:val="000000"/>
                <w:sz w:val="20"/>
                <w:szCs w:val="20"/>
                <w:shd w:val="clear" w:color="auto" w:fill="FFFFFF"/>
              </w:rPr>
              <w:t xml:space="preserve"> </w:t>
            </w:r>
            <w:r w:rsidRPr="003A3D94">
              <w:rPr>
                <w:rFonts w:ascii="Times New Roman" w:hAnsi="Times New Roman" w:cs="Times New Roman"/>
                <w:sz w:val="20"/>
                <w:szCs w:val="20"/>
              </w:rPr>
              <w:t xml:space="preserve">6 ja 7 metoodika kohased arvutused ei ole vajalikud. Erandina võib </w:t>
            </w:r>
            <w:r w:rsidR="00F468EF" w:rsidRPr="003A3D94">
              <w:rPr>
                <w:rFonts w:ascii="Times New Roman" w:hAnsi="Times New Roman" w:cs="Times New Roman"/>
                <w:sz w:val="20"/>
                <w:szCs w:val="20"/>
              </w:rPr>
              <w:t xml:space="preserve">GBER mõistes </w:t>
            </w:r>
            <w:r w:rsidRPr="003A3D94">
              <w:rPr>
                <w:rFonts w:ascii="Times New Roman" w:hAnsi="Times New Roman" w:cs="Times New Roman"/>
                <w:sz w:val="20"/>
                <w:szCs w:val="20"/>
              </w:rPr>
              <w:t xml:space="preserve">abi summa ületada 2,2 mln juhul, kui taotleja omafinantseering loetakse ka </w:t>
            </w:r>
            <w:r w:rsidR="00F468EF" w:rsidRPr="003A3D94">
              <w:rPr>
                <w:rFonts w:ascii="Times New Roman" w:hAnsi="Times New Roman" w:cs="Times New Roman"/>
                <w:sz w:val="20"/>
                <w:szCs w:val="20"/>
              </w:rPr>
              <w:t xml:space="preserve">mingil põhjusel </w:t>
            </w:r>
            <w:r w:rsidRPr="003A3D94">
              <w:rPr>
                <w:rFonts w:ascii="Times New Roman" w:hAnsi="Times New Roman" w:cs="Times New Roman"/>
                <w:sz w:val="20"/>
                <w:szCs w:val="20"/>
              </w:rPr>
              <w:t xml:space="preserve">art 53 alusel saadud abiks. </w:t>
            </w:r>
            <w:r w:rsidR="00F468EF" w:rsidRPr="003A3D94">
              <w:rPr>
                <w:rFonts w:ascii="Times New Roman" w:hAnsi="Times New Roman" w:cs="Times New Roman"/>
                <w:sz w:val="20"/>
                <w:szCs w:val="20"/>
              </w:rPr>
              <w:t xml:space="preserve">Seetõttu päriselt välja jätta seda varianti ei saa. </w:t>
            </w:r>
          </w:p>
          <w:p w14:paraId="1BD13C57" w14:textId="77777777" w:rsidR="000207E2" w:rsidRPr="003A3D94" w:rsidRDefault="000207E2" w:rsidP="00C47E58">
            <w:pPr>
              <w:rPr>
                <w:rFonts w:ascii="Times New Roman" w:hAnsi="Times New Roman" w:cs="Times New Roman"/>
                <w:sz w:val="20"/>
                <w:szCs w:val="20"/>
              </w:rPr>
            </w:pPr>
          </w:p>
          <w:p w14:paraId="4B2472D6" w14:textId="5960532A" w:rsidR="000207E2" w:rsidRPr="003A3D94" w:rsidRDefault="000207E2" w:rsidP="00135245">
            <w:pPr>
              <w:pStyle w:val="Tekst"/>
              <w:rPr>
                <w:sz w:val="20"/>
                <w:szCs w:val="20"/>
              </w:rPr>
            </w:pPr>
            <w:r w:rsidRPr="003A3D94">
              <w:rPr>
                <w:sz w:val="20"/>
                <w:szCs w:val="20"/>
              </w:rPr>
              <w:lastRenderedPageBreak/>
              <w:t>Vältimaks taotlejate segadust, on seletuskirjas üle rõhutatud, et lisaks tuleb abi andmisel grupierandi määruse metoodikale arvesse võtta ka antud määruse § 12 lõigetes 2 ja 3 sätestatud toetuse piirmäärasid.</w:t>
            </w:r>
          </w:p>
          <w:p w14:paraId="608C7F6E" w14:textId="77777777" w:rsidR="00F468EF" w:rsidRPr="003A3D94" w:rsidRDefault="00F468EF" w:rsidP="00135245">
            <w:pPr>
              <w:pStyle w:val="Tekst"/>
              <w:rPr>
                <w:sz w:val="20"/>
                <w:szCs w:val="20"/>
              </w:rPr>
            </w:pPr>
          </w:p>
          <w:p w14:paraId="67AF5A23" w14:textId="115C2F34" w:rsidR="00F468EF" w:rsidRPr="003A3D94" w:rsidRDefault="00F468EF" w:rsidP="00135245">
            <w:pPr>
              <w:pStyle w:val="Tekst"/>
              <w:rPr>
                <w:sz w:val="20"/>
                <w:szCs w:val="20"/>
              </w:rPr>
            </w:pPr>
            <w:r w:rsidRPr="003A3D94">
              <w:rPr>
                <w:sz w:val="20"/>
                <w:szCs w:val="20"/>
              </w:rPr>
              <w:t>Kuna selles meetmes kõrgemat toetusmäära kui 70% pole võimalik saada, siis on võimalik määruse sõnastus muuta nii, et üheselt on metoodika alusel vaja arvutada abimäär ainult üle 2,2 mln abi puhul.</w:t>
            </w:r>
          </w:p>
          <w:p w14:paraId="17B95F7C" w14:textId="12C1B85B" w:rsidR="00F468EF" w:rsidRPr="003A3D94" w:rsidRDefault="00F468EF" w:rsidP="00135245">
            <w:pPr>
              <w:pStyle w:val="Tekst"/>
              <w:rPr>
                <w:sz w:val="20"/>
                <w:szCs w:val="20"/>
              </w:rPr>
            </w:pPr>
            <w:r w:rsidRPr="003A3D94">
              <w:rPr>
                <w:sz w:val="20"/>
                <w:szCs w:val="20"/>
              </w:rPr>
              <w:t>Uuendatud sõnastused:</w:t>
            </w:r>
          </w:p>
          <w:p w14:paraId="20AF744F" w14:textId="5DE78BF0" w:rsidR="00F468EF" w:rsidRPr="003A3D94" w:rsidRDefault="00F468EF" w:rsidP="00F468EF">
            <w:pPr>
              <w:ind w:left="164" w:right="69"/>
              <w:jc w:val="both"/>
              <w:rPr>
                <w:rFonts w:ascii="Times New Roman" w:hAnsi="Times New Roman" w:cs="Times New Roman"/>
                <w:sz w:val="20"/>
                <w:szCs w:val="20"/>
              </w:rPr>
            </w:pPr>
            <w:bookmarkStart w:id="6" w:name="_Hlk165969318"/>
            <w:bookmarkStart w:id="7" w:name="_Hlk165370198"/>
            <w:r w:rsidRPr="003A3D94">
              <w:rPr>
                <w:rFonts w:ascii="Times New Roman" w:hAnsi="Times New Roman" w:cs="Times New Roman"/>
                <w:sz w:val="20"/>
                <w:szCs w:val="20"/>
              </w:rPr>
              <w:t>(2)    Kultuuri edendamiseks ja kultuuripärandi säilitamiseks antud investeerimisabi</w:t>
            </w:r>
            <w:r w:rsidR="007D1732">
              <w:rPr>
                <w:rFonts w:ascii="Times New Roman" w:hAnsi="Times New Roman" w:cs="Times New Roman"/>
                <w:sz w:val="20"/>
                <w:szCs w:val="20"/>
              </w:rPr>
              <w:t xml:space="preserve"> puhul</w:t>
            </w:r>
            <w:r w:rsidRPr="003A3D94">
              <w:rPr>
                <w:rFonts w:ascii="Times New Roman" w:hAnsi="Times New Roman" w:cs="Times New Roman"/>
                <w:sz w:val="20"/>
                <w:szCs w:val="20"/>
              </w:rPr>
              <w:t xml:space="preserve"> üldise grupierandi määruse artikli 53 lõike 4 tähenduses või tegevusabi</w:t>
            </w:r>
            <w:r w:rsidR="007D1732">
              <w:rPr>
                <w:rFonts w:ascii="Times New Roman" w:hAnsi="Times New Roman" w:cs="Times New Roman"/>
                <w:sz w:val="20"/>
                <w:szCs w:val="20"/>
              </w:rPr>
              <w:t xml:space="preserve"> puhul</w:t>
            </w:r>
            <w:r w:rsidRPr="003A3D94">
              <w:rPr>
                <w:rFonts w:ascii="Times New Roman" w:hAnsi="Times New Roman" w:cs="Times New Roman"/>
                <w:sz w:val="20"/>
                <w:szCs w:val="20"/>
              </w:rPr>
              <w:t xml:space="preserve"> sama määruse sama artikli lõike 5 tähenduses arvutatakse </w:t>
            </w:r>
            <w:r w:rsidR="007D1732">
              <w:rPr>
                <w:rFonts w:ascii="Times New Roman" w:hAnsi="Times New Roman" w:cs="Times New Roman"/>
                <w:sz w:val="20"/>
                <w:szCs w:val="20"/>
              </w:rPr>
              <w:t>t</w:t>
            </w:r>
            <w:r w:rsidR="007D1732" w:rsidRPr="003A3D94">
              <w:rPr>
                <w:rFonts w:ascii="Times New Roman" w:hAnsi="Times New Roman" w:cs="Times New Roman"/>
                <w:sz w:val="20"/>
                <w:szCs w:val="20"/>
              </w:rPr>
              <w:t xml:space="preserve">oetuse ülemmäär või summa </w:t>
            </w:r>
            <w:r w:rsidRPr="003A3D94">
              <w:rPr>
                <w:rFonts w:ascii="Times New Roman" w:hAnsi="Times New Roman" w:cs="Times New Roman"/>
                <w:sz w:val="20"/>
                <w:szCs w:val="20"/>
              </w:rPr>
              <w:t>2,2 miljoni euro suuruse või seda ületava abi puhul sama määruse sama artikli lõigetes 6 ja 7 sätestatud metoodika alusel. Üldise grupierandi määruse artikli 53 lõike 2 punktis f määratletud tegevuse puhul määratakse toetuse ülemmäär sama artikli lõikes 9 metoodika alusel.</w:t>
            </w:r>
          </w:p>
          <w:bookmarkEnd w:id="6"/>
          <w:p w14:paraId="060DC76E" w14:textId="77777777" w:rsidR="00F468EF" w:rsidRPr="003A3D94" w:rsidRDefault="00F468EF" w:rsidP="00F468EF">
            <w:pPr>
              <w:spacing w:before="16" w:line="260" w:lineRule="exact"/>
              <w:rPr>
                <w:rFonts w:ascii="Times New Roman" w:hAnsi="Times New Roman" w:cs="Times New Roman"/>
                <w:sz w:val="20"/>
                <w:szCs w:val="20"/>
              </w:rPr>
            </w:pPr>
          </w:p>
          <w:p w14:paraId="59A87A6F" w14:textId="78E7AC6A" w:rsidR="00F468EF" w:rsidRPr="003A3D94" w:rsidRDefault="00F468EF" w:rsidP="00F468EF">
            <w:pPr>
              <w:ind w:left="164" w:right="71"/>
              <w:jc w:val="both"/>
              <w:rPr>
                <w:rFonts w:ascii="Times New Roman" w:hAnsi="Times New Roman" w:cs="Times New Roman"/>
                <w:sz w:val="20"/>
                <w:szCs w:val="20"/>
              </w:rPr>
            </w:pPr>
            <w:r w:rsidRPr="003A3D94">
              <w:rPr>
                <w:rFonts w:ascii="Times New Roman" w:hAnsi="Times New Roman" w:cs="Times New Roman"/>
                <w:sz w:val="20"/>
                <w:szCs w:val="20"/>
              </w:rPr>
              <w:t xml:space="preserve">(3)  </w:t>
            </w:r>
            <w:bookmarkStart w:id="8" w:name="_Hlk165969405"/>
            <w:bookmarkEnd w:id="7"/>
            <w:r w:rsidRPr="003A3D94">
              <w:rPr>
                <w:rFonts w:ascii="Times New Roman" w:hAnsi="Times New Roman" w:cs="Times New Roman"/>
                <w:sz w:val="20"/>
                <w:szCs w:val="20"/>
              </w:rPr>
              <w:t xml:space="preserve">Spordi- ja </w:t>
            </w:r>
            <w:proofErr w:type="spellStart"/>
            <w:r w:rsidRPr="003A3D94">
              <w:rPr>
                <w:rFonts w:ascii="Times New Roman" w:hAnsi="Times New Roman" w:cs="Times New Roman"/>
                <w:sz w:val="20"/>
                <w:szCs w:val="20"/>
              </w:rPr>
              <w:t>mitmeotstarbelisele</w:t>
            </w:r>
            <w:proofErr w:type="spellEnd"/>
            <w:r w:rsidRPr="003A3D94">
              <w:rPr>
                <w:rFonts w:ascii="Times New Roman" w:hAnsi="Times New Roman" w:cs="Times New Roman"/>
                <w:sz w:val="20"/>
                <w:szCs w:val="20"/>
              </w:rPr>
              <w:t xml:space="preserve"> vaba aja veetmise taristule antav</w:t>
            </w:r>
            <w:r w:rsidR="007D1732">
              <w:rPr>
                <w:rFonts w:ascii="Times New Roman" w:hAnsi="Times New Roman" w:cs="Times New Roman"/>
                <w:sz w:val="20"/>
                <w:szCs w:val="20"/>
              </w:rPr>
              <w:t>a</w:t>
            </w:r>
            <w:r w:rsidRPr="003A3D94">
              <w:rPr>
                <w:rFonts w:ascii="Times New Roman" w:hAnsi="Times New Roman" w:cs="Times New Roman"/>
                <w:sz w:val="20"/>
                <w:szCs w:val="20"/>
              </w:rPr>
              <w:t xml:space="preserve"> abi</w:t>
            </w:r>
            <w:r w:rsidR="007D1732">
              <w:rPr>
                <w:rFonts w:ascii="Times New Roman" w:hAnsi="Times New Roman" w:cs="Times New Roman"/>
                <w:sz w:val="20"/>
                <w:szCs w:val="20"/>
              </w:rPr>
              <w:t xml:space="preserve"> puhul</w:t>
            </w:r>
            <w:r w:rsidRPr="003A3D94">
              <w:rPr>
                <w:rFonts w:ascii="Times New Roman" w:hAnsi="Times New Roman" w:cs="Times New Roman"/>
                <w:sz w:val="20"/>
                <w:szCs w:val="20"/>
              </w:rPr>
              <w:t xml:space="preserve"> üldise grupierandi määruse artikli 55 lõike 8 tähenduses või tegevusabi</w:t>
            </w:r>
            <w:r w:rsidR="007D1732">
              <w:rPr>
                <w:rFonts w:ascii="Times New Roman" w:hAnsi="Times New Roman" w:cs="Times New Roman"/>
                <w:sz w:val="20"/>
                <w:szCs w:val="20"/>
              </w:rPr>
              <w:t xml:space="preserve"> puhul</w:t>
            </w:r>
            <w:r w:rsidRPr="003A3D94">
              <w:rPr>
                <w:rFonts w:ascii="Times New Roman" w:hAnsi="Times New Roman" w:cs="Times New Roman"/>
                <w:sz w:val="20"/>
                <w:szCs w:val="20"/>
              </w:rPr>
              <w:t xml:space="preserve"> sama määruse sama artikli lõike 9 tähenduses arvutatakse</w:t>
            </w:r>
            <w:r w:rsidR="007D1732">
              <w:rPr>
                <w:rFonts w:ascii="Times New Roman" w:hAnsi="Times New Roman" w:cs="Times New Roman"/>
                <w:sz w:val="20"/>
                <w:szCs w:val="20"/>
              </w:rPr>
              <w:t xml:space="preserve"> t</w:t>
            </w:r>
            <w:r w:rsidR="007D1732" w:rsidRPr="003A3D94">
              <w:rPr>
                <w:rFonts w:ascii="Times New Roman" w:hAnsi="Times New Roman" w:cs="Times New Roman"/>
                <w:sz w:val="20"/>
                <w:szCs w:val="20"/>
              </w:rPr>
              <w:t>oetuse ülemmäär või summa</w:t>
            </w:r>
            <w:r w:rsidRPr="003A3D94">
              <w:rPr>
                <w:rFonts w:ascii="Times New Roman" w:hAnsi="Times New Roman" w:cs="Times New Roman"/>
                <w:sz w:val="20"/>
                <w:szCs w:val="20"/>
              </w:rPr>
              <w:t xml:space="preserve"> 2,2 miljoni euro suuruse või seda ületava abi puhul sama </w:t>
            </w:r>
            <w:r w:rsidRPr="003A3D94">
              <w:rPr>
                <w:rFonts w:ascii="Times New Roman" w:hAnsi="Times New Roman" w:cs="Times New Roman"/>
                <w:sz w:val="20"/>
                <w:szCs w:val="20"/>
              </w:rPr>
              <w:lastRenderedPageBreak/>
              <w:t>määruse sama artikli lõigetes 10−11 sätestatud metoodika alusel.</w:t>
            </w:r>
            <w:bookmarkEnd w:id="8"/>
          </w:p>
          <w:p w14:paraId="13BF41C4" w14:textId="0FB3C4A0" w:rsidR="00C47E58" w:rsidRPr="003A3D94" w:rsidRDefault="00C47E58" w:rsidP="00756F34">
            <w:pPr>
              <w:rPr>
                <w:rFonts w:ascii="Times New Roman" w:hAnsi="Times New Roman" w:cs="Times New Roman"/>
                <w:sz w:val="20"/>
                <w:szCs w:val="20"/>
              </w:rPr>
            </w:pPr>
          </w:p>
        </w:tc>
      </w:tr>
      <w:tr w:rsidR="00AB25BA" w:rsidRPr="003A3D94" w14:paraId="1466887A" w14:textId="77777777" w:rsidTr="003A3D94">
        <w:tc>
          <w:tcPr>
            <w:tcW w:w="689" w:type="dxa"/>
          </w:tcPr>
          <w:p w14:paraId="7BE0A193" w14:textId="1F39EA5F"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lastRenderedPageBreak/>
              <w:t>8</w:t>
            </w:r>
          </w:p>
        </w:tc>
        <w:tc>
          <w:tcPr>
            <w:tcW w:w="1007" w:type="dxa"/>
          </w:tcPr>
          <w:p w14:paraId="73A380C8" w14:textId="4DBE6A7D" w:rsidR="00AB25BA" w:rsidRPr="003A3D94" w:rsidRDefault="00123DD5" w:rsidP="00A409E0">
            <w:pPr>
              <w:rPr>
                <w:rFonts w:ascii="Times New Roman" w:hAnsi="Times New Roman" w:cs="Times New Roman"/>
                <w:sz w:val="20"/>
                <w:szCs w:val="20"/>
              </w:rPr>
            </w:pPr>
            <w:r w:rsidRPr="003A3D94">
              <w:rPr>
                <w:rFonts w:ascii="Times New Roman" w:hAnsi="Times New Roman" w:cs="Times New Roman"/>
                <w:sz w:val="20"/>
                <w:szCs w:val="20"/>
              </w:rPr>
              <w:t>RTK, Pille Ruul</w:t>
            </w:r>
          </w:p>
        </w:tc>
        <w:tc>
          <w:tcPr>
            <w:tcW w:w="1276" w:type="dxa"/>
          </w:tcPr>
          <w:p w14:paraId="62906693" w14:textId="6D7E322A" w:rsidR="00AB25BA" w:rsidRPr="003A3D94" w:rsidRDefault="00123DD5" w:rsidP="00A409E0">
            <w:pPr>
              <w:rPr>
                <w:rFonts w:ascii="Times New Roman" w:hAnsi="Times New Roman" w:cs="Times New Roman"/>
                <w:sz w:val="20"/>
                <w:szCs w:val="20"/>
              </w:rPr>
            </w:pPr>
            <w:r w:rsidRPr="003A3D94">
              <w:rPr>
                <w:rFonts w:ascii="Times New Roman" w:hAnsi="Times New Roman" w:cs="Times New Roman"/>
                <w:sz w:val="20"/>
                <w:szCs w:val="20"/>
              </w:rPr>
              <w:t>§ 15 lg 1 p 22</w:t>
            </w:r>
          </w:p>
        </w:tc>
        <w:tc>
          <w:tcPr>
            <w:tcW w:w="3686" w:type="dxa"/>
          </w:tcPr>
          <w:p w14:paraId="58BC0139" w14:textId="77777777" w:rsidR="00AB25BA" w:rsidRPr="003A3D94" w:rsidRDefault="00AB25BA" w:rsidP="00A409E0">
            <w:pPr>
              <w:rPr>
                <w:rFonts w:ascii="Times New Roman" w:hAnsi="Times New Roman" w:cs="Times New Roman"/>
                <w:sz w:val="20"/>
                <w:szCs w:val="20"/>
              </w:rPr>
            </w:pPr>
          </w:p>
        </w:tc>
        <w:tc>
          <w:tcPr>
            <w:tcW w:w="3685" w:type="dxa"/>
          </w:tcPr>
          <w:p w14:paraId="52510BBC" w14:textId="77777777" w:rsidR="00123DD5" w:rsidRPr="003A3D94" w:rsidRDefault="00123DD5" w:rsidP="00123DD5">
            <w:pPr>
              <w:rPr>
                <w:rFonts w:ascii="Times New Roman" w:hAnsi="Times New Roman" w:cs="Times New Roman"/>
                <w:sz w:val="20"/>
                <w:szCs w:val="20"/>
              </w:rPr>
            </w:pPr>
            <w:r w:rsidRPr="003A3D94">
              <w:rPr>
                <w:rFonts w:ascii="Times New Roman" w:hAnsi="Times New Roman" w:cs="Times New Roman"/>
                <w:sz w:val="20"/>
                <w:szCs w:val="20"/>
              </w:rPr>
              <w:t xml:space="preserve">Lisada muudatus </w:t>
            </w:r>
            <w:r w:rsidRPr="003A3D94">
              <w:rPr>
                <w:rFonts w:ascii="Times New Roman" w:hAnsi="Times New Roman" w:cs="Times New Roman"/>
                <w:b/>
                <w:bCs/>
                <w:sz w:val="20"/>
                <w:szCs w:val="20"/>
              </w:rPr>
              <w:t>§ 15 lõike 1 punkt 22 sõnastuseks järgnevalt: (22)</w:t>
            </w:r>
            <w:r w:rsidRPr="003A3D94">
              <w:rPr>
                <w:rFonts w:ascii="Times New Roman" w:hAnsi="Times New Roman" w:cs="Times New Roman"/>
                <w:sz w:val="20"/>
                <w:szCs w:val="20"/>
              </w:rPr>
              <w:t xml:space="preserve">dokument, mis kinnitab selle </w:t>
            </w:r>
            <w:proofErr w:type="spellStart"/>
            <w:r w:rsidRPr="003A3D94">
              <w:rPr>
                <w:rFonts w:ascii="Times New Roman" w:hAnsi="Times New Roman" w:cs="Times New Roman"/>
                <w:sz w:val="20"/>
                <w:szCs w:val="20"/>
              </w:rPr>
              <w:t>väärindatava</w:t>
            </w:r>
            <w:proofErr w:type="spellEnd"/>
            <w:r w:rsidRPr="003A3D94">
              <w:rPr>
                <w:rFonts w:ascii="Times New Roman" w:hAnsi="Times New Roman" w:cs="Times New Roman"/>
                <w:sz w:val="20"/>
                <w:szCs w:val="20"/>
              </w:rPr>
              <w:t xml:space="preserve"> objekti omandi- või kasutusõigust, millele hoonete ja rajatiste ehitamiseks toetust taotletakse, projekti abikõlblikkuse perioodil ja vähemalt kolme aasta jooksul väikese või keskmise suurusega ettevõtjast toetuse saaja korral ning viie aasta jooksul suurettevõtjast taotleja korral pärast projekti abikõlblikkuse perioodi lõppemist, välja arvatud </w:t>
            </w:r>
            <w:r w:rsidRPr="003A3D94">
              <w:rPr>
                <w:rFonts w:ascii="Times New Roman" w:hAnsi="Times New Roman" w:cs="Times New Roman"/>
                <w:b/>
                <w:bCs/>
                <w:sz w:val="20"/>
                <w:szCs w:val="20"/>
              </w:rPr>
              <w:t>§ 4 lg 1 p.2 tegevustesse panustavad taotlused, kes tagavad dokumentide olemasolu projekti lõpuks.</w:t>
            </w:r>
          </w:p>
          <w:p w14:paraId="0A3C0A89" w14:textId="77777777" w:rsidR="00123DD5" w:rsidRPr="003A3D94" w:rsidRDefault="00123DD5" w:rsidP="00123DD5">
            <w:pPr>
              <w:rPr>
                <w:rFonts w:ascii="Times New Roman" w:hAnsi="Times New Roman" w:cs="Times New Roman"/>
                <w:b/>
                <w:bCs/>
                <w:sz w:val="20"/>
                <w:szCs w:val="20"/>
              </w:rPr>
            </w:pPr>
            <w:r w:rsidRPr="003A3D94">
              <w:rPr>
                <w:rFonts w:ascii="Times New Roman" w:hAnsi="Times New Roman" w:cs="Times New Roman"/>
                <w:sz w:val="20"/>
                <w:szCs w:val="20"/>
              </w:rPr>
              <w:t xml:space="preserve">Põhjendus: tuginedes </w:t>
            </w:r>
            <w:proofErr w:type="spellStart"/>
            <w:r w:rsidRPr="003A3D94">
              <w:rPr>
                <w:rFonts w:ascii="Times New Roman" w:hAnsi="Times New Roman" w:cs="Times New Roman"/>
                <w:sz w:val="20"/>
                <w:szCs w:val="20"/>
              </w:rPr>
              <w:t>KIKi</w:t>
            </w:r>
            <w:proofErr w:type="spellEnd"/>
            <w:r w:rsidRPr="003A3D94">
              <w:rPr>
                <w:rFonts w:ascii="Times New Roman" w:hAnsi="Times New Roman" w:cs="Times New Roman"/>
                <w:sz w:val="20"/>
                <w:szCs w:val="20"/>
              </w:rPr>
              <w:t xml:space="preserve"> praktikale ja kogemustele võib vee-ettevõtetel tulla põhiprojekti ja ehitamise käigus trassi muutusi ja seetõttu ei ole mõistlik nõuda taotlejalt neid dokumente taotlemisel. </w:t>
            </w:r>
            <w:r w:rsidRPr="003A3D94">
              <w:rPr>
                <w:rFonts w:ascii="Times New Roman" w:hAnsi="Times New Roman" w:cs="Times New Roman"/>
                <w:b/>
                <w:bCs/>
                <w:sz w:val="20"/>
                <w:szCs w:val="20"/>
              </w:rPr>
              <w:t>Vee-ettevõtja (toetuse saaja) vastutus on tagada omandi- ja kasutusõigus projekti lõpuks. Omandisuhte vormistamised on toetuse saaja kohustus.</w:t>
            </w:r>
            <w:r w:rsidRPr="003A3D94">
              <w:rPr>
                <w:rFonts w:ascii="Times New Roman" w:hAnsi="Times New Roman" w:cs="Times New Roman"/>
                <w:sz w:val="20"/>
                <w:szCs w:val="20"/>
              </w:rPr>
              <w:t xml:space="preserve"> </w:t>
            </w:r>
            <w:r w:rsidRPr="003A3D94">
              <w:rPr>
                <w:rFonts w:ascii="Times New Roman" w:hAnsi="Times New Roman" w:cs="Times New Roman"/>
                <w:b/>
                <w:bCs/>
                <w:sz w:val="20"/>
                <w:szCs w:val="20"/>
              </w:rPr>
              <w:t xml:space="preserve">Seega võib alternatiivina kustutada selle nõuete seast taotlusele ja lisama punkti § 26 lg 2 alla: … tagama dokumendid </w:t>
            </w:r>
            <w:proofErr w:type="spellStart"/>
            <w:r w:rsidRPr="003A3D94">
              <w:rPr>
                <w:rFonts w:ascii="Times New Roman" w:hAnsi="Times New Roman" w:cs="Times New Roman"/>
                <w:b/>
                <w:bCs/>
                <w:sz w:val="20"/>
                <w:szCs w:val="20"/>
              </w:rPr>
              <w:t>väärindatava</w:t>
            </w:r>
            <w:proofErr w:type="spellEnd"/>
            <w:r w:rsidRPr="003A3D94">
              <w:rPr>
                <w:rFonts w:ascii="Times New Roman" w:hAnsi="Times New Roman" w:cs="Times New Roman"/>
                <w:b/>
                <w:bCs/>
                <w:sz w:val="20"/>
                <w:szCs w:val="20"/>
              </w:rPr>
              <w:t xml:space="preserve"> objekti omandi- ja kasutusõigust kinnitatavad dokumendid hiljemalt projekti elluviimise lõpuks.</w:t>
            </w:r>
          </w:p>
          <w:p w14:paraId="3F87D028" w14:textId="77777777" w:rsidR="00AB25BA" w:rsidRPr="003A3D94" w:rsidRDefault="00AB25BA" w:rsidP="00A409E0">
            <w:pPr>
              <w:rPr>
                <w:rFonts w:ascii="Times New Roman" w:hAnsi="Times New Roman" w:cs="Times New Roman"/>
                <w:sz w:val="20"/>
                <w:szCs w:val="20"/>
              </w:rPr>
            </w:pPr>
          </w:p>
        </w:tc>
        <w:tc>
          <w:tcPr>
            <w:tcW w:w="3649" w:type="dxa"/>
          </w:tcPr>
          <w:p w14:paraId="58497050" w14:textId="5BE6F83F" w:rsidR="00AB25BA" w:rsidRPr="003A3D94" w:rsidRDefault="00E07F5F" w:rsidP="008D63CD">
            <w:pPr>
              <w:rPr>
                <w:rFonts w:ascii="Times New Roman" w:hAnsi="Times New Roman" w:cs="Times New Roman"/>
                <w:sz w:val="20"/>
                <w:szCs w:val="20"/>
              </w:rPr>
            </w:pPr>
            <w:r w:rsidRPr="003A3D94">
              <w:rPr>
                <w:rFonts w:ascii="Times New Roman" w:hAnsi="Times New Roman" w:cs="Times New Roman"/>
                <w:sz w:val="20"/>
                <w:szCs w:val="20"/>
              </w:rPr>
              <w:t>Arvestatud. § 15 lg 1 p 22 nõue välja võetud ja lisatud § 26 lg 2 toetuse saaja kohustuseks</w:t>
            </w:r>
            <w:r w:rsidR="008D63CD">
              <w:rPr>
                <w:rFonts w:ascii="Times New Roman" w:hAnsi="Times New Roman" w:cs="Times New Roman"/>
                <w:sz w:val="20"/>
                <w:szCs w:val="20"/>
              </w:rPr>
              <w:t>.</w:t>
            </w:r>
          </w:p>
        </w:tc>
      </w:tr>
      <w:tr w:rsidR="00AB25BA" w:rsidRPr="003A3D94" w14:paraId="100B34D1" w14:textId="77777777" w:rsidTr="003A3D94">
        <w:tc>
          <w:tcPr>
            <w:tcW w:w="689" w:type="dxa"/>
          </w:tcPr>
          <w:p w14:paraId="7CE7BB1A" w14:textId="0BE10D0A"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9</w:t>
            </w:r>
          </w:p>
        </w:tc>
        <w:tc>
          <w:tcPr>
            <w:tcW w:w="1007" w:type="dxa"/>
          </w:tcPr>
          <w:p w14:paraId="6101D8D8" w14:textId="0CA6D6E7" w:rsidR="00AB25BA" w:rsidRPr="003A3D94" w:rsidRDefault="009902D8" w:rsidP="00A409E0">
            <w:pPr>
              <w:rPr>
                <w:rFonts w:ascii="Times New Roman" w:hAnsi="Times New Roman" w:cs="Times New Roman"/>
                <w:sz w:val="20"/>
                <w:szCs w:val="20"/>
              </w:rPr>
            </w:pPr>
            <w:r w:rsidRPr="003A3D94">
              <w:rPr>
                <w:rFonts w:ascii="Times New Roman" w:hAnsi="Times New Roman" w:cs="Times New Roman"/>
                <w:sz w:val="20"/>
                <w:szCs w:val="20"/>
              </w:rPr>
              <w:t>RTK, Katri  Oja</w:t>
            </w:r>
          </w:p>
        </w:tc>
        <w:tc>
          <w:tcPr>
            <w:tcW w:w="1276" w:type="dxa"/>
          </w:tcPr>
          <w:p w14:paraId="1EE8AED0" w14:textId="0E7B28A2" w:rsidR="00AB25BA" w:rsidRPr="003A3D94" w:rsidRDefault="009902D8" w:rsidP="00A409E0">
            <w:pPr>
              <w:rPr>
                <w:rFonts w:ascii="Times New Roman" w:hAnsi="Times New Roman" w:cs="Times New Roman"/>
                <w:sz w:val="20"/>
                <w:szCs w:val="20"/>
              </w:rPr>
            </w:pPr>
            <w:r w:rsidRPr="003A3D94">
              <w:rPr>
                <w:rFonts w:ascii="Times New Roman" w:hAnsi="Times New Roman" w:cs="Times New Roman"/>
                <w:sz w:val="20"/>
                <w:szCs w:val="20"/>
              </w:rPr>
              <w:t>§ 22 lg 1</w:t>
            </w:r>
          </w:p>
        </w:tc>
        <w:tc>
          <w:tcPr>
            <w:tcW w:w="3686" w:type="dxa"/>
          </w:tcPr>
          <w:p w14:paraId="46BE8252" w14:textId="77777777" w:rsidR="009902D8" w:rsidRPr="003A3D94" w:rsidRDefault="009902D8" w:rsidP="009902D8">
            <w:pPr>
              <w:rPr>
                <w:rFonts w:ascii="Times New Roman" w:hAnsi="Times New Roman" w:cs="Times New Roman"/>
                <w:sz w:val="20"/>
                <w:szCs w:val="20"/>
              </w:rPr>
            </w:pPr>
            <w:r w:rsidRPr="003A3D94">
              <w:rPr>
                <w:rFonts w:ascii="Times New Roman" w:hAnsi="Times New Roman" w:cs="Times New Roman"/>
                <w:i/>
                <w:iCs/>
                <w:sz w:val="20"/>
                <w:szCs w:val="20"/>
              </w:rPr>
              <w:t>Taotlus jäetakse rahuldamata ühendmääruse § 8 lõigetes 2 ja 3 nimetatud juhtudel, sealhulgas kui taotleja või taotlus ei vasta käesoleva määruse §-des 13 ja 15 ning § 17 lõikes 3 sätestatud nõuetele</w:t>
            </w:r>
          </w:p>
          <w:p w14:paraId="5F871AF5" w14:textId="77777777" w:rsidR="00AB25BA" w:rsidRPr="003A3D94" w:rsidRDefault="00AB25BA" w:rsidP="00A409E0">
            <w:pPr>
              <w:rPr>
                <w:rFonts w:ascii="Times New Roman" w:hAnsi="Times New Roman" w:cs="Times New Roman"/>
                <w:sz w:val="20"/>
                <w:szCs w:val="20"/>
              </w:rPr>
            </w:pPr>
          </w:p>
        </w:tc>
        <w:tc>
          <w:tcPr>
            <w:tcW w:w="3685" w:type="dxa"/>
          </w:tcPr>
          <w:p w14:paraId="281903C2" w14:textId="77777777" w:rsidR="009902D8" w:rsidRPr="003A3D94" w:rsidRDefault="009902D8" w:rsidP="009902D8">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ÜM § 8 lg 2, millele sättes viidatakse, katab juba ära taotleja, partneri ja taotluse vastavusnõuetele vastamise kohustuse. Seega puudub vajadus eristada sõnaga "või" viidet TAT nõuetele, mis nagunii tuleb juba ÜM § 8 lg 2 p-st 1. Pigem võib </w:t>
            </w:r>
            <w:r w:rsidRPr="003A3D94">
              <w:rPr>
                <w:rFonts w:ascii="Times New Roman" w:hAnsi="Times New Roman" w:cs="Times New Roman"/>
                <w:sz w:val="20"/>
                <w:szCs w:val="20"/>
              </w:rPr>
              <w:lastRenderedPageBreak/>
              <w:t>siis rõhutada, et TAT nõuetele mittevastavus on üks rahuldamata jätmise alustest. Seega ettepanek sõnastuse muutmiseks:</w:t>
            </w:r>
          </w:p>
          <w:p w14:paraId="62B1FF0B" w14:textId="77777777" w:rsidR="009902D8" w:rsidRPr="003A3D94" w:rsidRDefault="009902D8" w:rsidP="009902D8">
            <w:pPr>
              <w:rPr>
                <w:rFonts w:ascii="Times New Roman" w:hAnsi="Times New Roman" w:cs="Times New Roman"/>
                <w:sz w:val="20"/>
                <w:szCs w:val="20"/>
              </w:rPr>
            </w:pPr>
            <w:r w:rsidRPr="003A3D94">
              <w:rPr>
                <w:rFonts w:ascii="Times New Roman" w:hAnsi="Times New Roman" w:cs="Times New Roman"/>
                <w:i/>
                <w:iCs/>
                <w:sz w:val="20"/>
                <w:szCs w:val="20"/>
              </w:rPr>
              <w:t>Taotlus jäetakse rahuldamata ühendmääruse § 8 lõigetes 2 ja 3 nimetatud juhtudel, sealhulgas kui taotleja või taotlus ei vasta käesoleva määruse §-des 13 ja 15 ning § 17 lõikes 3 sätestatud nõuetele</w:t>
            </w:r>
          </w:p>
          <w:p w14:paraId="5D220816" w14:textId="77777777" w:rsidR="00AB25BA" w:rsidRPr="003A3D94" w:rsidRDefault="00AB25BA" w:rsidP="00A409E0">
            <w:pPr>
              <w:rPr>
                <w:rFonts w:ascii="Times New Roman" w:hAnsi="Times New Roman" w:cs="Times New Roman"/>
                <w:sz w:val="20"/>
                <w:szCs w:val="20"/>
              </w:rPr>
            </w:pPr>
          </w:p>
        </w:tc>
        <w:tc>
          <w:tcPr>
            <w:tcW w:w="3649" w:type="dxa"/>
          </w:tcPr>
          <w:p w14:paraId="7D9D2116" w14:textId="1BD3C227" w:rsidR="00AB25BA" w:rsidRPr="003A3D94" w:rsidRDefault="009902D8" w:rsidP="00A409E0">
            <w:pPr>
              <w:rPr>
                <w:rFonts w:ascii="Times New Roman" w:hAnsi="Times New Roman" w:cs="Times New Roman"/>
                <w:sz w:val="20"/>
                <w:szCs w:val="20"/>
              </w:rPr>
            </w:pPr>
            <w:r w:rsidRPr="003A3D94">
              <w:rPr>
                <w:rFonts w:ascii="Times New Roman" w:hAnsi="Times New Roman" w:cs="Times New Roman"/>
                <w:sz w:val="20"/>
                <w:szCs w:val="20"/>
              </w:rPr>
              <w:lastRenderedPageBreak/>
              <w:t>Arvestatud.</w:t>
            </w:r>
          </w:p>
        </w:tc>
      </w:tr>
      <w:tr w:rsidR="00AB25BA" w:rsidRPr="003A3D94" w14:paraId="4095BD4B" w14:textId="77777777" w:rsidTr="003A3D94">
        <w:tc>
          <w:tcPr>
            <w:tcW w:w="689" w:type="dxa"/>
          </w:tcPr>
          <w:p w14:paraId="785465BD" w14:textId="3A28A80C"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10</w:t>
            </w:r>
          </w:p>
        </w:tc>
        <w:tc>
          <w:tcPr>
            <w:tcW w:w="1007" w:type="dxa"/>
          </w:tcPr>
          <w:p w14:paraId="58D0079C" w14:textId="4F5B93E8" w:rsidR="00AB25BA" w:rsidRPr="003A3D94" w:rsidRDefault="00002A9E" w:rsidP="00A409E0">
            <w:pPr>
              <w:rPr>
                <w:rFonts w:ascii="Times New Roman" w:hAnsi="Times New Roman" w:cs="Times New Roman"/>
                <w:sz w:val="20"/>
                <w:szCs w:val="20"/>
              </w:rPr>
            </w:pPr>
            <w:r w:rsidRPr="003A3D94">
              <w:rPr>
                <w:rFonts w:ascii="Times New Roman" w:hAnsi="Times New Roman" w:cs="Times New Roman"/>
                <w:sz w:val="20"/>
                <w:szCs w:val="20"/>
              </w:rPr>
              <w:t>RTK, Pille Ruul</w:t>
            </w:r>
          </w:p>
        </w:tc>
        <w:tc>
          <w:tcPr>
            <w:tcW w:w="1276" w:type="dxa"/>
          </w:tcPr>
          <w:p w14:paraId="3FC0C091" w14:textId="1DC7CC5C" w:rsidR="00AB25BA" w:rsidRPr="003A3D94" w:rsidRDefault="00002A9E" w:rsidP="00A409E0">
            <w:pPr>
              <w:rPr>
                <w:rFonts w:ascii="Times New Roman" w:hAnsi="Times New Roman" w:cs="Times New Roman"/>
                <w:sz w:val="20"/>
                <w:szCs w:val="20"/>
              </w:rPr>
            </w:pPr>
            <w:r w:rsidRPr="003A3D94">
              <w:rPr>
                <w:rFonts w:ascii="Times New Roman" w:hAnsi="Times New Roman" w:cs="Times New Roman"/>
                <w:sz w:val="20"/>
                <w:szCs w:val="20"/>
              </w:rPr>
              <w:t>§ 23 lg 3</w:t>
            </w:r>
          </w:p>
        </w:tc>
        <w:tc>
          <w:tcPr>
            <w:tcW w:w="3686" w:type="dxa"/>
          </w:tcPr>
          <w:p w14:paraId="60A84CCC" w14:textId="77777777" w:rsidR="00AB25BA" w:rsidRPr="003A3D94" w:rsidRDefault="00AB25BA" w:rsidP="00A409E0">
            <w:pPr>
              <w:rPr>
                <w:rFonts w:ascii="Times New Roman" w:hAnsi="Times New Roman" w:cs="Times New Roman"/>
                <w:sz w:val="20"/>
                <w:szCs w:val="20"/>
              </w:rPr>
            </w:pPr>
          </w:p>
        </w:tc>
        <w:tc>
          <w:tcPr>
            <w:tcW w:w="3685" w:type="dxa"/>
          </w:tcPr>
          <w:p w14:paraId="2A89EC8D" w14:textId="77777777" w:rsidR="00002A9E" w:rsidRPr="003A3D94" w:rsidRDefault="00002A9E" w:rsidP="00002A9E">
            <w:pPr>
              <w:rPr>
                <w:rFonts w:ascii="Times New Roman" w:hAnsi="Times New Roman" w:cs="Times New Roman"/>
                <w:sz w:val="20"/>
                <w:szCs w:val="20"/>
              </w:rPr>
            </w:pPr>
            <w:r w:rsidRPr="003A3D94">
              <w:rPr>
                <w:rFonts w:ascii="Times New Roman" w:hAnsi="Times New Roman" w:cs="Times New Roman"/>
                <w:sz w:val="20"/>
                <w:szCs w:val="20"/>
              </w:rPr>
              <w:t xml:space="preserve">Ettepanek lisada paragrahv 23 lg 3 lause: Teatud põhjendatud juhtudel võib </w:t>
            </w:r>
            <w:proofErr w:type="spellStart"/>
            <w:r w:rsidRPr="003A3D94">
              <w:rPr>
                <w:rFonts w:ascii="Times New Roman" w:hAnsi="Times New Roman" w:cs="Times New Roman"/>
                <w:sz w:val="20"/>
                <w:szCs w:val="20"/>
              </w:rPr>
              <w:t>kõrvaltingimuse</w:t>
            </w:r>
            <w:proofErr w:type="spellEnd"/>
            <w:r w:rsidRPr="003A3D94">
              <w:rPr>
                <w:rFonts w:ascii="Times New Roman" w:hAnsi="Times New Roman" w:cs="Times New Roman"/>
                <w:sz w:val="20"/>
                <w:szCs w:val="20"/>
              </w:rPr>
              <w:t xml:space="preserve"> täitmine toimuda ka pikema aja jooksul.</w:t>
            </w:r>
          </w:p>
          <w:p w14:paraId="08449F9D" w14:textId="77777777" w:rsidR="00002A9E" w:rsidRPr="003A3D94" w:rsidRDefault="00002A9E" w:rsidP="00002A9E">
            <w:pPr>
              <w:rPr>
                <w:rFonts w:ascii="Times New Roman" w:hAnsi="Times New Roman" w:cs="Times New Roman"/>
                <w:sz w:val="20"/>
                <w:szCs w:val="20"/>
              </w:rPr>
            </w:pPr>
            <w:r w:rsidRPr="003A3D94">
              <w:rPr>
                <w:rFonts w:ascii="Times New Roman" w:hAnsi="Times New Roman" w:cs="Times New Roman"/>
                <w:sz w:val="20"/>
                <w:szCs w:val="20"/>
              </w:rPr>
              <w:t xml:space="preserve">Põhjendus: RTK on seadnud </w:t>
            </w:r>
            <w:proofErr w:type="spellStart"/>
            <w:r w:rsidRPr="003A3D94">
              <w:rPr>
                <w:rFonts w:ascii="Times New Roman" w:hAnsi="Times New Roman" w:cs="Times New Roman"/>
                <w:sz w:val="20"/>
                <w:szCs w:val="20"/>
              </w:rPr>
              <w:t>vee-ettevõtettele</w:t>
            </w:r>
            <w:proofErr w:type="spellEnd"/>
            <w:r w:rsidRPr="003A3D94">
              <w:rPr>
                <w:rFonts w:ascii="Times New Roman" w:hAnsi="Times New Roman" w:cs="Times New Roman"/>
                <w:sz w:val="20"/>
                <w:szCs w:val="20"/>
              </w:rPr>
              <w:t xml:space="preserve"> </w:t>
            </w:r>
            <w:proofErr w:type="spellStart"/>
            <w:r w:rsidRPr="003A3D94">
              <w:rPr>
                <w:rFonts w:ascii="Times New Roman" w:hAnsi="Times New Roman" w:cs="Times New Roman"/>
                <w:sz w:val="20"/>
                <w:szCs w:val="20"/>
              </w:rPr>
              <w:t>kõrvaldtingimuseks</w:t>
            </w:r>
            <w:proofErr w:type="spellEnd"/>
            <w:r w:rsidRPr="003A3D94">
              <w:rPr>
                <w:rFonts w:ascii="Times New Roman" w:hAnsi="Times New Roman" w:cs="Times New Roman"/>
                <w:sz w:val="20"/>
                <w:szCs w:val="20"/>
              </w:rPr>
              <w:t xml:space="preserve"> omandi </w:t>
            </w:r>
            <w:proofErr w:type="spellStart"/>
            <w:r w:rsidRPr="003A3D94">
              <w:rPr>
                <w:rFonts w:ascii="Times New Roman" w:hAnsi="Times New Roman" w:cs="Times New Roman"/>
                <w:sz w:val="20"/>
                <w:szCs w:val="20"/>
              </w:rPr>
              <w:t>väärindamist</w:t>
            </w:r>
            <w:proofErr w:type="spellEnd"/>
            <w:r w:rsidRPr="003A3D94">
              <w:rPr>
                <w:rFonts w:ascii="Times New Roman" w:hAnsi="Times New Roman" w:cs="Times New Roman"/>
                <w:sz w:val="20"/>
                <w:szCs w:val="20"/>
              </w:rPr>
              <w:t xml:space="preserve"> ja selle kasutamist kinnitavate dokumentide </w:t>
            </w:r>
            <w:proofErr w:type="spellStart"/>
            <w:r w:rsidRPr="003A3D94">
              <w:rPr>
                <w:rFonts w:ascii="Times New Roman" w:hAnsi="Times New Roman" w:cs="Times New Roman"/>
                <w:sz w:val="20"/>
                <w:szCs w:val="20"/>
              </w:rPr>
              <w:t>esitamisels</w:t>
            </w:r>
            <w:proofErr w:type="spellEnd"/>
            <w:r w:rsidRPr="003A3D94">
              <w:rPr>
                <w:rFonts w:ascii="Times New Roman" w:hAnsi="Times New Roman" w:cs="Times New Roman"/>
                <w:sz w:val="20"/>
                <w:szCs w:val="20"/>
              </w:rPr>
              <w:t>. Kuna põhiprojekti ja ehitamise käigus võivad trassid muutuda, ei saa toetuse saaja täita tingimusi 6 kuu jooksul. RTK peaks hakkama toetuse rahuldamise otsuseid tühistama seejärel.</w:t>
            </w:r>
          </w:p>
          <w:p w14:paraId="33970AF2" w14:textId="77777777" w:rsidR="00AB25BA" w:rsidRPr="003A3D94" w:rsidRDefault="00AB25BA" w:rsidP="00A409E0">
            <w:pPr>
              <w:rPr>
                <w:rFonts w:ascii="Times New Roman" w:hAnsi="Times New Roman" w:cs="Times New Roman"/>
                <w:sz w:val="20"/>
                <w:szCs w:val="20"/>
              </w:rPr>
            </w:pPr>
          </w:p>
        </w:tc>
        <w:tc>
          <w:tcPr>
            <w:tcW w:w="3649" w:type="dxa"/>
          </w:tcPr>
          <w:p w14:paraId="2701A32F" w14:textId="42243873" w:rsidR="00002A9E" w:rsidRPr="003A3D94" w:rsidRDefault="00002A9E" w:rsidP="00A409E0">
            <w:pPr>
              <w:rPr>
                <w:rFonts w:ascii="Times New Roman" w:hAnsi="Times New Roman" w:cs="Times New Roman"/>
                <w:sz w:val="20"/>
                <w:szCs w:val="20"/>
              </w:rPr>
            </w:pPr>
            <w:r w:rsidRPr="003A3D94">
              <w:rPr>
                <w:rFonts w:ascii="Times New Roman" w:hAnsi="Times New Roman" w:cs="Times New Roman"/>
                <w:sz w:val="20"/>
                <w:szCs w:val="20"/>
              </w:rPr>
              <w:t xml:space="preserve">Ei ole vajadust seda muuta, kuna § 15 lg 1 p 22 võetakse taotleja nõuete alt välja nõue esitada taotluses dokumendid, mis kinnitavad </w:t>
            </w:r>
            <w:proofErr w:type="spellStart"/>
            <w:r w:rsidRPr="003A3D94">
              <w:rPr>
                <w:rFonts w:ascii="Times New Roman" w:hAnsi="Times New Roman" w:cs="Times New Roman"/>
                <w:sz w:val="20"/>
                <w:szCs w:val="20"/>
              </w:rPr>
              <w:t>väärindatava</w:t>
            </w:r>
            <w:proofErr w:type="spellEnd"/>
            <w:r w:rsidRPr="003A3D94">
              <w:rPr>
                <w:rFonts w:ascii="Times New Roman" w:hAnsi="Times New Roman" w:cs="Times New Roman"/>
                <w:sz w:val="20"/>
                <w:szCs w:val="20"/>
              </w:rPr>
              <w:t xml:space="preserve"> objekti omandi- ja kasutusõigust.</w:t>
            </w:r>
          </w:p>
          <w:p w14:paraId="52D70BBF" w14:textId="77777777" w:rsidR="00002A9E" w:rsidRPr="003A3D94" w:rsidRDefault="00002A9E" w:rsidP="00A409E0">
            <w:pPr>
              <w:rPr>
                <w:rFonts w:ascii="Times New Roman" w:hAnsi="Times New Roman" w:cs="Times New Roman"/>
                <w:sz w:val="20"/>
                <w:szCs w:val="20"/>
              </w:rPr>
            </w:pPr>
          </w:p>
          <w:p w14:paraId="6ABBF0F2" w14:textId="77777777" w:rsidR="00AB25BA" w:rsidRPr="003A3D94" w:rsidRDefault="00B77CEE" w:rsidP="00A409E0">
            <w:pPr>
              <w:rPr>
                <w:rFonts w:ascii="Times New Roman" w:hAnsi="Times New Roman" w:cs="Times New Roman"/>
                <w:sz w:val="20"/>
                <w:szCs w:val="20"/>
              </w:rPr>
            </w:pPr>
            <w:r w:rsidRPr="003A3D94">
              <w:rPr>
                <w:rFonts w:ascii="Times New Roman" w:hAnsi="Times New Roman" w:cs="Times New Roman"/>
                <w:sz w:val="20"/>
                <w:szCs w:val="20"/>
              </w:rPr>
              <w:t>L</w:t>
            </w:r>
            <w:r w:rsidR="00002A9E" w:rsidRPr="003A3D94">
              <w:rPr>
                <w:rFonts w:ascii="Times New Roman" w:hAnsi="Times New Roman" w:cs="Times New Roman"/>
                <w:sz w:val="20"/>
                <w:szCs w:val="20"/>
              </w:rPr>
              <w:t>isatud § 26 lg 2 toetuse saaja kohustuseks ja võimaldab esitada dokumendid alles lõpparuandega.</w:t>
            </w:r>
          </w:p>
          <w:p w14:paraId="4FCB9093" w14:textId="77777777" w:rsidR="000158E4" w:rsidRPr="003A3D94" w:rsidRDefault="000158E4" w:rsidP="00A409E0">
            <w:pPr>
              <w:rPr>
                <w:rFonts w:ascii="Times New Roman" w:hAnsi="Times New Roman" w:cs="Times New Roman"/>
                <w:sz w:val="20"/>
                <w:szCs w:val="20"/>
              </w:rPr>
            </w:pPr>
          </w:p>
          <w:p w14:paraId="448BC1C7" w14:textId="7CF6D95D" w:rsidR="000158E4" w:rsidRPr="003A3D94" w:rsidRDefault="000158E4" w:rsidP="00A409E0">
            <w:pPr>
              <w:rPr>
                <w:rFonts w:ascii="Times New Roman" w:hAnsi="Times New Roman" w:cs="Times New Roman"/>
                <w:sz w:val="20"/>
                <w:szCs w:val="20"/>
              </w:rPr>
            </w:pPr>
            <w:r w:rsidRPr="003A3D94">
              <w:rPr>
                <w:rFonts w:ascii="Times New Roman" w:hAnsi="Times New Roman" w:cs="Times New Roman"/>
                <w:sz w:val="20"/>
                <w:szCs w:val="20"/>
              </w:rPr>
              <w:t xml:space="preserve">6 kuu pikkune tähtaeg </w:t>
            </w:r>
            <w:proofErr w:type="spellStart"/>
            <w:r w:rsidRPr="003A3D94">
              <w:rPr>
                <w:rFonts w:ascii="Times New Roman" w:hAnsi="Times New Roman" w:cs="Times New Roman"/>
                <w:sz w:val="20"/>
                <w:szCs w:val="20"/>
              </w:rPr>
              <w:t>kõrvaltingimustele</w:t>
            </w:r>
            <w:proofErr w:type="spellEnd"/>
            <w:r w:rsidRPr="003A3D94">
              <w:rPr>
                <w:rFonts w:ascii="Times New Roman" w:hAnsi="Times New Roman" w:cs="Times New Roman"/>
                <w:sz w:val="20"/>
                <w:szCs w:val="20"/>
              </w:rPr>
              <w:t xml:space="preserve"> on seatud määrusesse selleks, et vä</w:t>
            </w:r>
            <w:r w:rsidR="00AE5C1F" w:rsidRPr="003A3D94">
              <w:rPr>
                <w:rFonts w:ascii="Times New Roman" w:hAnsi="Times New Roman" w:cs="Times New Roman"/>
                <w:sz w:val="20"/>
                <w:szCs w:val="20"/>
              </w:rPr>
              <w:t xml:space="preserve">ltida eelarve vahendite pikaajalist sidumist projektides, mille elluviimisel on ulatuslikke takistusi. </w:t>
            </w:r>
          </w:p>
        </w:tc>
      </w:tr>
      <w:tr w:rsidR="00AB25BA" w:rsidRPr="003A3D94" w14:paraId="60F7E2B2" w14:textId="77777777" w:rsidTr="003A3D94">
        <w:tc>
          <w:tcPr>
            <w:tcW w:w="689" w:type="dxa"/>
          </w:tcPr>
          <w:p w14:paraId="6F09B53A" w14:textId="23465D75"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11</w:t>
            </w:r>
          </w:p>
        </w:tc>
        <w:tc>
          <w:tcPr>
            <w:tcW w:w="1007" w:type="dxa"/>
          </w:tcPr>
          <w:p w14:paraId="627A610A" w14:textId="5E572E49" w:rsidR="00AB25BA" w:rsidRPr="003A3D94" w:rsidRDefault="00E76E27" w:rsidP="00A409E0">
            <w:pPr>
              <w:rPr>
                <w:rFonts w:ascii="Times New Roman" w:hAnsi="Times New Roman" w:cs="Times New Roman"/>
                <w:sz w:val="20"/>
                <w:szCs w:val="20"/>
              </w:rPr>
            </w:pPr>
            <w:r w:rsidRPr="003A3D94">
              <w:rPr>
                <w:rFonts w:ascii="Times New Roman" w:hAnsi="Times New Roman" w:cs="Times New Roman"/>
                <w:sz w:val="20"/>
                <w:szCs w:val="20"/>
              </w:rPr>
              <w:t>RTK, Pille Ruul</w:t>
            </w:r>
          </w:p>
        </w:tc>
        <w:tc>
          <w:tcPr>
            <w:tcW w:w="1276" w:type="dxa"/>
          </w:tcPr>
          <w:p w14:paraId="0BE996ED" w14:textId="3D50031A" w:rsidR="00AB25BA" w:rsidRPr="003A3D94" w:rsidRDefault="00E76E27" w:rsidP="00A409E0">
            <w:pPr>
              <w:rPr>
                <w:rFonts w:ascii="Times New Roman" w:hAnsi="Times New Roman" w:cs="Times New Roman"/>
                <w:sz w:val="20"/>
                <w:szCs w:val="20"/>
              </w:rPr>
            </w:pPr>
            <w:r w:rsidRPr="003A3D94">
              <w:rPr>
                <w:rFonts w:ascii="Times New Roman" w:hAnsi="Times New Roman" w:cs="Times New Roman"/>
                <w:sz w:val="20"/>
                <w:szCs w:val="20"/>
              </w:rPr>
              <w:t>§ 26 lg 2</w:t>
            </w:r>
          </w:p>
        </w:tc>
        <w:tc>
          <w:tcPr>
            <w:tcW w:w="3686" w:type="dxa"/>
          </w:tcPr>
          <w:p w14:paraId="1B4FB0DB" w14:textId="77777777" w:rsidR="00AB25BA" w:rsidRPr="003A3D94" w:rsidRDefault="00AB25BA" w:rsidP="00A409E0">
            <w:pPr>
              <w:rPr>
                <w:rFonts w:ascii="Times New Roman" w:hAnsi="Times New Roman" w:cs="Times New Roman"/>
                <w:sz w:val="20"/>
                <w:szCs w:val="20"/>
              </w:rPr>
            </w:pPr>
          </w:p>
        </w:tc>
        <w:tc>
          <w:tcPr>
            <w:tcW w:w="3685" w:type="dxa"/>
          </w:tcPr>
          <w:p w14:paraId="52E42617" w14:textId="77777777" w:rsidR="00E76E27" w:rsidRPr="003A3D94" w:rsidRDefault="00E76E27" w:rsidP="00E76E27">
            <w:pPr>
              <w:rPr>
                <w:rFonts w:ascii="Times New Roman" w:hAnsi="Times New Roman" w:cs="Times New Roman"/>
                <w:sz w:val="20"/>
                <w:szCs w:val="20"/>
              </w:rPr>
            </w:pPr>
            <w:r w:rsidRPr="003A3D94">
              <w:rPr>
                <w:rFonts w:ascii="Times New Roman" w:hAnsi="Times New Roman" w:cs="Times New Roman"/>
                <w:sz w:val="20"/>
                <w:szCs w:val="20"/>
              </w:rPr>
              <w:t xml:space="preserve">Lisada paragrahv 26 lg 2 alla: … tagama dokumendid </w:t>
            </w:r>
            <w:proofErr w:type="spellStart"/>
            <w:r w:rsidRPr="003A3D94">
              <w:rPr>
                <w:rFonts w:ascii="Times New Roman" w:hAnsi="Times New Roman" w:cs="Times New Roman"/>
                <w:sz w:val="20"/>
                <w:szCs w:val="20"/>
              </w:rPr>
              <w:t>väärindatava</w:t>
            </w:r>
            <w:proofErr w:type="spellEnd"/>
            <w:r w:rsidRPr="003A3D94">
              <w:rPr>
                <w:rFonts w:ascii="Times New Roman" w:hAnsi="Times New Roman" w:cs="Times New Roman"/>
                <w:sz w:val="20"/>
                <w:szCs w:val="20"/>
              </w:rPr>
              <w:t xml:space="preserve"> objekti omandi- ja kasutusõigust kinnitatavad dokumendid hiljemalt projekti elluviimise </w:t>
            </w:r>
            <w:proofErr w:type="spellStart"/>
            <w:r w:rsidRPr="003A3D94">
              <w:rPr>
                <w:rFonts w:ascii="Times New Roman" w:hAnsi="Times New Roman" w:cs="Times New Roman"/>
                <w:sz w:val="20"/>
                <w:szCs w:val="20"/>
              </w:rPr>
              <w:t>lõpuks.Praegu</w:t>
            </w:r>
            <w:proofErr w:type="spellEnd"/>
            <w:r w:rsidRPr="003A3D94">
              <w:rPr>
                <w:rFonts w:ascii="Times New Roman" w:hAnsi="Times New Roman" w:cs="Times New Roman"/>
                <w:sz w:val="20"/>
                <w:szCs w:val="20"/>
              </w:rPr>
              <w:t xml:space="preserve"> on RTK teinud </w:t>
            </w:r>
            <w:proofErr w:type="spellStart"/>
            <w:r w:rsidRPr="003A3D94">
              <w:rPr>
                <w:rFonts w:ascii="Times New Roman" w:hAnsi="Times New Roman" w:cs="Times New Roman"/>
                <w:sz w:val="20"/>
                <w:szCs w:val="20"/>
              </w:rPr>
              <w:t>kõrvaltingimustega</w:t>
            </w:r>
            <w:proofErr w:type="spellEnd"/>
            <w:r w:rsidRPr="003A3D94">
              <w:rPr>
                <w:rFonts w:ascii="Times New Roman" w:hAnsi="Times New Roman" w:cs="Times New Roman"/>
                <w:sz w:val="20"/>
                <w:szCs w:val="20"/>
              </w:rPr>
              <w:t xml:space="preserve"> otsuseid, kuid 6 kuu jooksul pole võimalik neid tingimusi täita. Alles projekti käigus. Oluline, et see muudatus jõustuks tagasiulatuvalt ka eelmise 2 grupi taotlustele, kuna vastasel juhul oleme sunnitud tegema toetuse rahuldamise otsuse tühistamise </w:t>
            </w:r>
            <w:r w:rsidRPr="003A3D94">
              <w:rPr>
                <w:rFonts w:ascii="Times New Roman" w:hAnsi="Times New Roman" w:cs="Times New Roman"/>
                <w:sz w:val="20"/>
                <w:szCs w:val="20"/>
              </w:rPr>
              <w:lastRenderedPageBreak/>
              <w:t>(</w:t>
            </w:r>
            <w:proofErr w:type="spellStart"/>
            <w:r w:rsidRPr="003A3D94">
              <w:rPr>
                <w:rFonts w:ascii="Times New Roman" w:hAnsi="Times New Roman" w:cs="Times New Roman"/>
                <w:sz w:val="20"/>
                <w:szCs w:val="20"/>
              </w:rPr>
              <w:t>kõrvaltingimusi</w:t>
            </w:r>
            <w:proofErr w:type="spellEnd"/>
            <w:r w:rsidRPr="003A3D94">
              <w:rPr>
                <w:rFonts w:ascii="Times New Roman" w:hAnsi="Times New Roman" w:cs="Times New Roman"/>
                <w:sz w:val="20"/>
                <w:szCs w:val="20"/>
              </w:rPr>
              <w:t xml:space="preserve"> ei ole võimalik tähtaja, 6 kuu, jooksul täita).</w:t>
            </w:r>
          </w:p>
          <w:p w14:paraId="5B408238" w14:textId="77777777" w:rsidR="00AB25BA" w:rsidRPr="003A3D94" w:rsidRDefault="00AB25BA" w:rsidP="00A409E0">
            <w:pPr>
              <w:rPr>
                <w:rFonts w:ascii="Times New Roman" w:hAnsi="Times New Roman" w:cs="Times New Roman"/>
                <w:sz w:val="20"/>
                <w:szCs w:val="20"/>
              </w:rPr>
            </w:pPr>
          </w:p>
        </w:tc>
        <w:tc>
          <w:tcPr>
            <w:tcW w:w="3649" w:type="dxa"/>
          </w:tcPr>
          <w:p w14:paraId="54D0952E" w14:textId="4917541C" w:rsidR="00AB25BA" w:rsidRPr="003A3D94" w:rsidRDefault="00E76E27" w:rsidP="00B32E8A">
            <w:pPr>
              <w:rPr>
                <w:rFonts w:ascii="Times New Roman" w:hAnsi="Times New Roman" w:cs="Times New Roman"/>
                <w:sz w:val="20"/>
                <w:szCs w:val="20"/>
              </w:rPr>
            </w:pPr>
            <w:r w:rsidRPr="003A3D94">
              <w:rPr>
                <w:rFonts w:ascii="Times New Roman" w:hAnsi="Times New Roman" w:cs="Times New Roman"/>
                <w:sz w:val="20"/>
                <w:szCs w:val="20"/>
              </w:rPr>
              <w:lastRenderedPageBreak/>
              <w:t>Arvestatud. § 26 lg 2 alla lisatud punkt</w:t>
            </w:r>
            <w:r w:rsidR="00B32E8A" w:rsidRPr="003A3D94">
              <w:rPr>
                <w:rFonts w:ascii="Times New Roman" w:hAnsi="Times New Roman" w:cs="Times New Roman"/>
                <w:sz w:val="20"/>
                <w:szCs w:val="20"/>
              </w:rPr>
              <w:t xml:space="preserve"> 4</w:t>
            </w:r>
            <w:r w:rsidR="00B32E8A" w:rsidRPr="003A3D94">
              <w:rPr>
                <w:rFonts w:ascii="Times New Roman" w:hAnsi="Times New Roman" w:cs="Times New Roman"/>
                <w:sz w:val="20"/>
                <w:szCs w:val="20"/>
                <w:vertAlign w:val="superscript"/>
              </w:rPr>
              <w:t>1</w:t>
            </w:r>
            <w:r w:rsidR="00B32E8A" w:rsidRPr="003A3D94">
              <w:rPr>
                <w:rFonts w:ascii="Times New Roman" w:hAnsi="Times New Roman" w:cs="Times New Roman"/>
                <w:sz w:val="20"/>
                <w:szCs w:val="20"/>
              </w:rPr>
              <w:t xml:space="preserve"> ja lõige 2</w:t>
            </w:r>
            <w:r w:rsidR="00B32E8A" w:rsidRPr="003A3D94">
              <w:rPr>
                <w:rFonts w:ascii="Times New Roman" w:hAnsi="Times New Roman" w:cs="Times New Roman"/>
                <w:sz w:val="20"/>
                <w:szCs w:val="20"/>
                <w:vertAlign w:val="superscript"/>
              </w:rPr>
              <w:t>1</w:t>
            </w:r>
            <w:r w:rsidR="00B32E8A" w:rsidRPr="003A3D94">
              <w:rPr>
                <w:rFonts w:ascii="Times New Roman" w:hAnsi="Times New Roman" w:cs="Times New Roman"/>
                <w:sz w:val="20"/>
                <w:szCs w:val="20"/>
              </w:rPr>
              <w:t>.</w:t>
            </w:r>
            <w:r w:rsidRPr="003A3D94">
              <w:rPr>
                <w:rFonts w:ascii="Times New Roman" w:hAnsi="Times New Roman" w:cs="Times New Roman"/>
                <w:sz w:val="20"/>
                <w:szCs w:val="20"/>
              </w:rPr>
              <w:t xml:space="preserve"> </w:t>
            </w:r>
          </w:p>
        </w:tc>
      </w:tr>
      <w:tr w:rsidR="00AB25BA" w:rsidRPr="003A3D94" w14:paraId="6B686C51" w14:textId="77777777" w:rsidTr="003A3D94">
        <w:tc>
          <w:tcPr>
            <w:tcW w:w="689" w:type="dxa"/>
          </w:tcPr>
          <w:p w14:paraId="33498CA1" w14:textId="7E1C31B5"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12</w:t>
            </w:r>
          </w:p>
        </w:tc>
        <w:tc>
          <w:tcPr>
            <w:tcW w:w="1007" w:type="dxa"/>
          </w:tcPr>
          <w:p w14:paraId="27A4CCE3" w14:textId="552E015E" w:rsidR="00AB25BA" w:rsidRPr="003A3D94" w:rsidRDefault="003E559D" w:rsidP="00A409E0">
            <w:pPr>
              <w:rPr>
                <w:rFonts w:ascii="Times New Roman" w:hAnsi="Times New Roman" w:cs="Times New Roman"/>
                <w:sz w:val="20"/>
                <w:szCs w:val="20"/>
              </w:rPr>
            </w:pPr>
            <w:r w:rsidRPr="003A3D94">
              <w:rPr>
                <w:rFonts w:ascii="Times New Roman" w:hAnsi="Times New Roman" w:cs="Times New Roman"/>
                <w:sz w:val="20"/>
                <w:szCs w:val="20"/>
              </w:rPr>
              <w:t>RTK, Pille Ruul</w:t>
            </w:r>
          </w:p>
        </w:tc>
        <w:tc>
          <w:tcPr>
            <w:tcW w:w="1276" w:type="dxa"/>
          </w:tcPr>
          <w:p w14:paraId="7854F67B" w14:textId="6B8EFB42" w:rsidR="00AB25BA" w:rsidRPr="003A3D94" w:rsidRDefault="003E559D" w:rsidP="00A409E0">
            <w:pPr>
              <w:rPr>
                <w:rFonts w:ascii="Times New Roman" w:hAnsi="Times New Roman" w:cs="Times New Roman"/>
                <w:sz w:val="20"/>
                <w:szCs w:val="20"/>
              </w:rPr>
            </w:pPr>
            <w:r w:rsidRPr="003A3D94">
              <w:rPr>
                <w:rFonts w:ascii="Times New Roman" w:hAnsi="Times New Roman" w:cs="Times New Roman"/>
                <w:sz w:val="20"/>
                <w:szCs w:val="20"/>
              </w:rPr>
              <w:t>§ 27 lg 1 p 6</w:t>
            </w:r>
          </w:p>
        </w:tc>
        <w:tc>
          <w:tcPr>
            <w:tcW w:w="3686" w:type="dxa"/>
          </w:tcPr>
          <w:p w14:paraId="6E80BA9A" w14:textId="77777777" w:rsidR="00AB25BA" w:rsidRPr="003A3D94" w:rsidRDefault="00AB25BA" w:rsidP="00A409E0">
            <w:pPr>
              <w:rPr>
                <w:rFonts w:ascii="Times New Roman" w:hAnsi="Times New Roman" w:cs="Times New Roman"/>
                <w:sz w:val="20"/>
                <w:szCs w:val="20"/>
              </w:rPr>
            </w:pPr>
          </w:p>
        </w:tc>
        <w:tc>
          <w:tcPr>
            <w:tcW w:w="3685" w:type="dxa"/>
          </w:tcPr>
          <w:p w14:paraId="000EE6AE" w14:textId="77777777" w:rsidR="003E559D" w:rsidRPr="003A3D94" w:rsidRDefault="003E559D" w:rsidP="003E559D">
            <w:pPr>
              <w:rPr>
                <w:rFonts w:ascii="Times New Roman" w:hAnsi="Times New Roman" w:cs="Times New Roman"/>
                <w:sz w:val="20"/>
                <w:szCs w:val="20"/>
              </w:rPr>
            </w:pPr>
            <w:r w:rsidRPr="003A3D94">
              <w:rPr>
                <w:rFonts w:ascii="Times New Roman" w:hAnsi="Times New Roman" w:cs="Times New Roman"/>
                <w:sz w:val="20"/>
                <w:szCs w:val="20"/>
              </w:rPr>
              <w:t>Ettepanek täiendada paragrahvi 27 lõike 1 punkti 6 pärast tekstiosa "tegema" kas sõnaga "vajadusel" või "valikuliselt"</w:t>
            </w:r>
          </w:p>
          <w:p w14:paraId="5B8391C4" w14:textId="77777777" w:rsidR="00AB25BA" w:rsidRPr="003A3D94" w:rsidRDefault="00AB25BA" w:rsidP="00A409E0">
            <w:pPr>
              <w:rPr>
                <w:rFonts w:ascii="Times New Roman" w:hAnsi="Times New Roman" w:cs="Times New Roman"/>
                <w:sz w:val="20"/>
                <w:szCs w:val="20"/>
              </w:rPr>
            </w:pPr>
          </w:p>
        </w:tc>
        <w:tc>
          <w:tcPr>
            <w:tcW w:w="3649" w:type="dxa"/>
          </w:tcPr>
          <w:p w14:paraId="617BF4BA" w14:textId="39A95680" w:rsidR="00AB25BA" w:rsidRPr="003A3D94" w:rsidRDefault="00AE5C1F" w:rsidP="00A409E0">
            <w:pPr>
              <w:rPr>
                <w:rFonts w:ascii="Times New Roman" w:hAnsi="Times New Roman" w:cs="Times New Roman"/>
                <w:sz w:val="20"/>
                <w:szCs w:val="20"/>
              </w:rPr>
            </w:pPr>
            <w:r w:rsidRPr="003A3D94">
              <w:rPr>
                <w:rFonts w:ascii="Times New Roman" w:hAnsi="Times New Roman" w:cs="Times New Roman"/>
                <w:sz w:val="20"/>
                <w:szCs w:val="20"/>
              </w:rPr>
              <w:t>Mitte a</w:t>
            </w:r>
            <w:r w:rsidR="003E559D" w:rsidRPr="003A3D94">
              <w:rPr>
                <w:rFonts w:ascii="Times New Roman" w:hAnsi="Times New Roman" w:cs="Times New Roman"/>
                <w:sz w:val="20"/>
                <w:szCs w:val="20"/>
              </w:rPr>
              <w:t>rvestatud.</w:t>
            </w:r>
            <w:r w:rsidRPr="003A3D94">
              <w:rPr>
                <w:rFonts w:ascii="Times New Roman" w:hAnsi="Times New Roman" w:cs="Times New Roman"/>
                <w:sz w:val="20"/>
                <w:szCs w:val="20"/>
              </w:rPr>
              <w:t xml:space="preserve"> Järelkontrollide teostamisel lähtub RTK enda sisemistest tööprotseduuridest, sh järelkontrolli ulatuse ja teostamise põhimõtete määramisel. Ka kehtiv määruse sõnastus ei kohusta </w:t>
            </w:r>
            <w:proofErr w:type="spellStart"/>
            <w:r w:rsidRPr="003A3D94">
              <w:rPr>
                <w:rFonts w:ascii="Times New Roman" w:hAnsi="Times New Roman" w:cs="Times New Roman"/>
                <w:sz w:val="20"/>
                <w:szCs w:val="20"/>
              </w:rPr>
              <w:t>RTKd</w:t>
            </w:r>
            <w:proofErr w:type="spellEnd"/>
            <w:r w:rsidRPr="003A3D94">
              <w:rPr>
                <w:rFonts w:ascii="Times New Roman" w:hAnsi="Times New Roman" w:cs="Times New Roman"/>
                <w:sz w:val="20"/>
                <w:szCs w:val="20"/>
              </w:rPr>
              <w:t xml:space="preserve"> tegema lausalist järelkontrolli. Kehtiva sättega on järelkontrollide tegemine piiratud üksnes projektidega, mille puhul on toetuse saajal tekkinud kohustused soetatud vara ja rajatud või rekonstrueeritud infrastruktuuriobjekti sihtotstarbeliseks kasutamiseks.</w:t>
            </w:r>
          </w:p>
        </w:tc>
      </w:tr>
      <w:tr w:rsidR="00AB25BA" w:rsidRPr="003A3D94" w14:paraId="3B17D8FA" w14:textId="77777777" w:rsidTr="003A3D94">
        <w:tc>
          <w:tcPr>
            <w:tcW w:w="689" w:type="dxa"/>
          </w:tcPr>
          <w:p w14:paraId="05EB3471" w14:textId="51A579A1"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13</w:t>
            </w:r>
          </w:p>
        </w:tc>
        <w:tc>
          <w:tcPr>
            <w:tcW w:w="1007" w:type="dxa"/>
          </w:tcPr>
          <w:p w14:paraId="2B4795AA" w14:textId="681DC209" w:rsidR="00AB25BA" w:rsidRPr="003A3D94" w:rsidRDefault="003E559D" w:rsidP="00A409E0">
            <w:pPr>
              <w:rPr>
                <w:rFonts w:ascii="Times New Roman" w:hAnsi="Times New Roman" w:cs="Times New Roman"/>
                <w:sz w:val="20"/>
                <w:szCs w:val="20"/>
              </w:rPr>
            </w:pPr>
            <w:r w:rsidRPr="003A3D94">
              <w:rPr>
                <w:rFonts w:ascii="Times New Roman" w:hAnsi="Times New Roman" w:cs="Times New Roman"/>
                <w:sz w:val="20"/>
                <w:szCs w:val="20"/>
              </w:rPr>
              <w:t>RTK, Pille Ruul</w:t>
            </w:r>
          </w:p>
        </w:tc>
        <w:tc>
          <w:tcPr>
            <w:tcW w:w="1276" w:type="dxa"/>
          </w:tcPr>
          <w:p w14:paraId="74456097" w14:textId="0EEF3E9B" w:rsidR="00AB25BA" w:rsidRPr="003A3D94" w:rsidRDefault="003E559D" w:rsidP="00A409E0">
            <w:pPr>
              <w:rPr>
                <w:rFonts w:ascii="Times New Roman" w:hAnsi="Times New Roman" w:cs="Times New Roman"/>
                <w:sz w:val="20"/>
                <w:szCs w:val="20"/>
              </w:rPr>
            </w:pPr>
            <w:r w:rsidRPr="003A3D94">
              <w:rPr>
                <w:rFonts w:ascii="Times New Roman" w:hAnsi="Times New Roman" w:cs="Times New Roman"/>
                <w:sz w:val="20"/>
                <w:szCs w:val="20"/>
              </w:rPr>
              <w:t>§ 28 lg 5</w:t>
            </w:r>
          </w:p>
        </w:tc>
        <w:tc>
          <w:tcPr>
            <w:tcW w:w="3686" w:type="dxa"/>
          </w:tcPr>
          <w:p w14:paraId="249765C9" w14:textId="77777777" w:rsidR="00AB25BA" w:rsidRPr="003A3D94" w:rsidRDefault="00AB25BA" w:rsidP="00A409E0">
            <w:pPr>
              <w:rPr>
                <w:rFonts w:ascii="Times New Roman" w:hAnsi="Times New Roman" w:cs="Times New Roman"/>
                <w:sz w:val="20"/>
                <w:szCs w:val="20"/>
              </w:rPr>
            </w:pPr>
          </w:p>
        </w:tc>
        <w:tc>
          <w:tcPr>
            <w:tcW w:w="3685" w:type="dxa"/>
          </w:tcPr>
          <w:p w14:paraId="41F56B44" w14:textId="77777777" w:rsidR="003E559D" w:rsidRPr="003A3D94" w:rsidRDefault="003E559D" w:rsidP="003E559D">
            <w:pPr>
              <w:rPr>
                <w:rFonts w:ascii="Times New Roman" w:hAnsi="Times New Roman" w:cs="Times New Roman"/>
                <w:sz w:val="20"/>
                <w:szCs w:val="20"/>
              </w:rPr>
            </w:pPr>
            <w:bookmarkStart w:id="9" w:name="_Hlk171587001"/>
            <w:r w:rsidRPr="003A3D94">
              <w:rPr>
                <w:rFonts w:ascii="Times New Roman" w:hAnsi="Times New Roman" w:cs="Times New Roman"/>
                <w:sz w:val="20"/>
                <w:szCs w:val="20"/>
              </w:rPr>
              <w:t>Sõnastada paragrahv 28 lg 5 järgmiselt: Rakendusüksus kinnitab vahearuanded üldjuhul kolmekümne tööpäeva ja lõpparuande üldjuhul</w:t>
            </w:r>
          </w:p>
          <w:p w14:paraId="7F20E891" w14:textId="77777777" w:rsidR="003E559D" w:rsidRPr="003A3D94" w:rsidRDefault="003E559D" w:rsidP="003E559D">
            <w:pPr>
              <w:rPr>
                <w:rFonts w:ascii="Times New Roman" w:hAnsi="Times New Roman" w:cs="Times New Roman"/>
                <w:sz w:val="20"/>
                <w:szCs w:val="20"/>
              </w:rPr>
            </w:pPr>
            <w:r w:rsidRPr="003A3D94">
              <w:rPr>
                <w:rFonts w:ascii="Times New Roman" w:hAnsi="Times New Roman" w:cs="Times New Roman"/>
                <w:sz w:val="20"/>
                <w:szCs w:val="20"/>
              </w:rPr>
              <w:t xml:space="preserve">42 tööpäeva jooksul nende esitamisest arvates. Rakendusüksusel on õigus nõuda aruande täiendamist. </w:t>
            </w:r>
          </w:p>
          <w:p w14:paraId="2C86ECDA" w14:textId="77777777" w:rsidR="003E559D" w:rsidRPr="003A3D94" w:rsidRDefault="003E559D" w:rsidP="003E559D">
            <w:pPr>
              <w:rPr>
                <w:rFonts w:ascii="Times New Roman" w:hAnsi="Times New Roman" w:cs="Times New Roman"/>
                <w:sz w:val="20"/>
                <w:szCs w:val="20"/>
              </w:rPr>
            </w:pPr>
            <w:r w:rsidRPr="003A3D94">
              <w:rPr>
                <w:rFonts w:ascii="Times New Roman" w:hAnsi="Times New Roman" w:cs="Times New Roman"/>
                <w:sz w:val="20"/>
                <w:szCs w:val="20"/>
              </w:rPr>
              <w:t>Põhjendus: Kuna kõikide meetmete kõikide projektide vahearuannete tähtajad on 15.jaanuril, siis pole võimalik kinnitada kõiki vahearuandeid 10 tööpäeva jooksul. Pole reaalne tähtaeg ega võimalik teostada.</w:t>
            </w:r>
          </w:p>
          <w:bookmarkEnd w:id="9"/>
          <w:p w14:paraId="5F289D45" w14:textId="77777777" w:rsidR="00AB25BA" w:rsidRPr="003A3D94" w:rsidRDefault="00AB25BA" w:rsidP="00A409E0">
            <w:pPr>
              <w:rPr>
                <w:rFonts w:ascii="Times New Roman" w:hAnsi="Times New Roman" w:cs="Times New Roman"/>
                <w:sz w:val="20"/>
                <w:szCs w:val="20"/>
              </w:rPr>
            </w:pPr>
          </w:p>
        </w:tc>
        <w:tc>
          <w:tcPr>
            <w:tcW w:w="3649" w:type="dxa"/>
          </w:tcPr>
          <w:p w14:paraId="34264452" w14:textId="2933FAAF" w:rsidR="00AB25BA" w:rsidRPr="003A3D94" w:rsidRDefault="003E559D" w:rsidP="00A409E0">
            <w:pPr>
              <w:rPr>
                <w:rFonts w:ascii="Times New Roman" w:hAnsi="Times New Roman" w:cs="Times New Roman"/>
                <w:sz w:val="20"/>
                <w:szCs w:val="20"/>
              </w:rPr>
            </w:pPr>
            <w:r w:rsidRPr="003A3D94">
              <w:rPr>
                <w:rFonts w:ascii="Times New Roman" w:hAnsi="Times New Roman" w:cs="Times New Roman"/>
                <w:sz w:val="20"/>
                <w:szCs w:val="20"/>
              </w:rPr>
              <w:t>Arvestatud</w:t>
            </w:r>
            <w:r w:rsidR="00FB62D4">
              <w:rPr>
                <w:rFonts w:ascii="Times New Roman" w:hAnsi="Times New Roman" w:cs="Times New Roman"/>
                <w:sz w:val="20"/>
                <w:szCs w:val="20"/>
              </w:rPr>
              <w:t xml:space="preserve"> osaliselt</w:t>
            </w:r>
            <w:r w:rsidRPr="003A3D94">
              <w:rPr>
                <w:rFonts w:ascii="Times New Roman" w:hAnsi="Times New Roman" w:cs="Times New Roman"/>
                <w:sz w:val="20"/>
                <w:szCs w:val="20"/>
              </w:rPr>
              <w:t>.</w:t>
            </w:r>
            <w:r w:rsidR="00FB62D4">
              <w:rPr>
                <w:rFonts w:ascii="Times New Roman" w:hAnsi="Times New Roman" w:cs="Times New Roman"/>
                <w:sz w:val="20"/>
                <w:szCs w:val="20"/>
              </w:rPr>
              <w:t xml:space="preserve"> RÜ kinnitab vahearuanded üldjuhul 20 tööpäeva jooksul.</w:t>
            </w:r>
          </w:p>
        </w:tc>
      </w:tr>
      <w:tr w:rsidR="00AB25BA" w:rsidRPr="003A3D94" w14:paraId="7D51738E" w14:textId="77777777" w:rsidTr="003A3D94">
        <w:tc>
          <w:tcPr>
            <w:tcW w:w="689" w:type="dxa"/>
          </w:tcPr>
          <w:p w14:paraId="3E2328BA" w14:textId="00809FB8"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14</w:t>
            </w:r>
          </w:p>
        </w:tc>
        <w:tc>
          <w:tcPr>
            <w:tcW w:w="1007" w:type="dxa"/>
          </w:tcPr>
          <w:p w14:paraId="65DE41EF" w14:textId="472A7B88" w:rsidR="00AB25BA" w:rsidRPr="003A3D94" w:rsidRDefault="009A07CA" w:rsidP="00A409E0">
            <w:pPr>
              <w:rPr>
                <w:rFonts w:ascii="Times New Roman" w:hAnsi="Times New Roman" w:cs="Times New Roman"/>
                <w:sz w:val="20"/>
                <w:szCs w:val="20"/>
              </w:rPr>
            </w:pPr>
            <w:r w:rsidRPr="003A3D94">
              <w:rPr>
                <w:rFonts w:ascii="Times New Roman" w:hAnsi="Times New Roman" w:cs="Times New Roman"/>
                <w:sz w:val="20"/>
                <w:szCs w:val="20"/>
              </w:rPr>
              <w:t>RTK, Pille Ruul</w:t>
            </w:r>
          </w:p>
        </w:tc>
        <w:tc>
          <w:tcPr>
            <w:tcW w:w="1276" w:type="dxa"/>
          </w:tcPr>
          <w:p w14:paraId="1A9449EA" w14:textId="10378861" w:rsidR="00AB25BA" w:rsidRPr="003A3D94" w:rsidRDefault="009A07CA" w:rsidP="00A409E0">
            <w:pPr>
              <w:rPr>
                <w:rFonts w:ascii="Times New Roman" w:hAnsi="Times New Roman" w:cs="Times New Roman"/>
                <w:sz w:val="20"/>
                <w:szCs w:val="20"/>
              </w:rPr>
            </w:pPr>
            <w:r w:rsidRPr="003A3D94">
              <w:rPr>
                <w:rFonts w:ascii="Times New Roman" w:hAnsi="Times New Roman" w:cs="Times New Roman"/>
                <w:sz w:val="20"/>
                <w:szCs w:val="20"/>
              </w:rPr>
              <w:t>§ 29 lõiked 6-8</w:t>
            </w:r>
          </w:p>
        </w:tc>
        <w:tc>
          <w:tcPr>
            <w:tcW w:w="3686" w:type="dxa"/>
          </w:tcPr>
          <w:p w14:paraId="45E4528D" w14:textId="77777777" w:rsidR="00AB25BA" w:rsidRPr="003A3D94" w:rsidRDefault="00AB25BA" w:rsidP="00A409E0">
            <w:pPr>
              <w:rPr>
                <w:rFonts w:ascii="Times New Roman" w:hAnsi="Times New Roman" w:cs="Times New Roman"/>
                <w:sz w:val="20"/>
                <w:szCs w:val="20"/>
              </w:rPr>
            </w:pPr>
          </w:p>
        </w:tc>
        <w:tc>
          <w:tcPr>
            <w:tcW w:w="3685" w:type="dxa"/>
          </w:tcPr>
          <w:p w14:paraId="523689AF" w14:textId="77777777" w:rsidR="009A07CA" w:rsidRPr="003A3D94" w:rsidRDefault="009A07CA" w:rsidP="009A07CA">
            <w:pPr>
              <w:rPr>
                <w:rFonts w:ascii="Times New Roman" w:hAnsi="Times New Roman" w:cs="Times New Roman"/>
                <w:sz w:val="20"/>
                <w:szCs w:val="20"/>
              </w:rPr>
            </w:pPr>
            <w:r w:rsidRPr="003A3D94">
              <w:rPr>
                <w:rFonts w:ascii="Times New Roman" w:hAnsi="Times New Roman" w:cs="Times New Roman"/>
                <w:sz w:val="20"/>
                <w:szCs w:val="20"/>
              </w:rPr>
              <w:t xml:space="preserve">Küsime üle, kas kõik muutused kehtivad ka tagasiulatuvalt esimese 2 grupi ellu viidavatele projektidele </w:t>
            </w:r>
          </w:p>
          <w:p w14:paraId="633FBC12" w14:textId="77777777" w:rsidR="00AB25BA" w:rsidRPr="003A3D94" w:rsidRDefault="00AB25BA" w:rsidP="00A409E0">
            <w:pPr>
              <w:rPr>
                <w:rFonts w:ascii="Times New Roman" w:hAnsi="Times New Roman" w:cs="Times New Roman"/>
                <w:sz w:val="20"/>
                <w:szCs w:val="20"/>
              </w:rPr>
            </w:pPr>
          </w:p>
        </w:tc>
        <w:tc>
          <w:tcPr>
            <w:tcW w:w="3649" w:type="dxa"/>
          </w:tcPr>
          <w:p w14:paraId="1F1ED801" w14:textId="636FE266" w:rsidR="0070655A" w:rsidRPr="003A3D94" w:rsidRDefault="00FB62D4" w:rsidP="00707B1B">
            <w:pPr>
              <w:rPr>
                <w:rFonts w:ascii="Times New Roman" w:hAnsi="Times New Roman" w:cs="Times New Roman"/>
                <w:sz w:val="20"/>
                <w:szCs w:val="20"/>
              </w:rPr>
            </w:pPr>
            <w:r>
              <w:rPr>
                <w:rFonts w:ascii="Times New Roman" w:hAnsi="Times New Roman" w:cs="Times New Roman"/>
                <w:sz w:val="20"/>
                <w:szCs w:val="20"/>
              </w:rPr>
              <w:t>JAH, ettemakseid saab rakendada tagasiulatuvalt ka varasematele taotlustele.</w:t>
            </w:r>
          </w:p>
        </w:tc>
      </w:tr>
      <w:tr w:rsidR="00AB25BA" w:rsidRPr="003A3D94" w14:paraId="5EAC224D" w14:textId="77777777" w:rsidTr="003A3D94">
        <w:tc>
          <w:tcPr>
            <w:tcW w:w="689" w:type="dxa"/>
          </w:tcPr>
          <w:p w14:paraId="520CF750" w14:textId="6D0B9125"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15</w:t>
            </w:r>
          </w:p>
        </w:tc>
        <w:tc>
          <w:tcPr>
            <w:tcW w:w="1007" w:type="dxa"/>
          </w:tcPr>
          <w:p w14:paraId="56789546" w14:textId="590DC512" w:rsidR="00AB25BA" w:rsidRPr="003A3D94" w:rsidRDefault="00E20EA6" w:rsidP="00A409E0">
            <w:pPr>
              <w:rPr>
                <w:rFonts w:ascii="Times New Roman" w:hAnsi="Times New Roman" w:cs="Times New Roman"/>
                <w:sz w:val="20"/>
                <w:szCs w:val="20"/>
              </w:rPr>
            </w:pPr>
            <w:r w:rsidRPr="003A3D94">
              <w:rPr>
                <w:rFonts w:ascii="Times New Roman" w:hAnsi="Times New Roman" w:cs="Times New Roman"/>
                <w:sz w:val="20"/>
                <w:szCs w:val="20"/>
              </w:rPr>
              <w:t>RTK</w:t>
            </w:r>
          </w:p>
        </w:tc>
        <w:tc>
          <w:tcPr>
            <w:tcW w:w="1276" w:type="dxa"/>
          </w:tcPr>
          <w:p w14:paraId="6B0376C5" w14:textId="77777777" w:rsidR="00AB25BA" w:rsidRPr="003A3D94" w:rsidRDefault="00AB25BA" w:rsidP="00A409E0">
            <w:pPr>
              <w:rPr>
                <w:rFonts w:ascii="Times New Roman" w:hAnsi="Times New Roman" w:cs="Times New Roman"/>
                <w:sz w:val="20"/>
                <w:szCs w:val="20"/>
              </w:rPr>
            </w:pPr>
          </w:p>
        </w:tc>
        <w:tc>
          <w:tcPr>
            <w:tcW w:w="3686" w:type="dxa"/>
          </w:tcPr>
          <w:p w14:paraId="7EF04352" w14:textId="77777777" w:rsidR="00AB25BA" w:rsidRPr="003A3D94" w:rsidRDefault="00AB25BA" w:rsidP="00A409E0">
            <w:pPr>
              <w:rPr>
                <w:rFonts w:ascii="Times New Roman" w:hAnsi="Times New Roman" w:cs="Times New Roman"/>
                <w:sz w:val="20"/>
                <w:szCs w:val="20"/>
              </w:rPr>
            </w:pPr>
          </w:p>
        </w:tc>
        <w:tc>
          <w:tcPr>
            <w:tcW w:w="3685" w:type="dxa"/>
          </w:tcPr>
          <w:p w14:paraId="6253A662" w14:textId="67BA0C79" w:rsidR="00AB25BA" w:rsidRPr="003A3D94" w:rsidRDefault="00E20EA6" w:rsidP="00A409E0">
            <w:pPr>
              <w:rPr>
                <w:rFonts w:ascii="Times New Roman" w:hAnsi="Times New Roman" w:cs="Times New Roman"/>
                <w:sz w:val="20"/>
                <w:szCs w:val="20"/>
              </w:rPr>
            </w:pPr>
            <w:r w:rsidRPr="003A3D94">
              <w:rPr>
                <w:rFonts w:ascii="Times New Roman" w:hAnsi="Times New Roman" w:cs="Times New Roman"/>
                <w:sz w:val="20"/>
                <w:szCs w:val="20"/>
              </w:rPr>
              <w:t>Määruse tervikversioonis ei ole arvestatud mais jõustunud VTA muudatusi.</w:t>
            </w:r>
          </w:p>
        </w:tc>
        <w:tc>
          <w:tcPr>
            <w:tcW w:w="3649" w:type="dxa"/>
          </w:tcPr>
          <w:p w14:paraId="3E22F8B6" w14:textId="31116933" w:rsidR="00AB25BA" w:rsidRPr="003A3D94" w:rsidRDefault="0070655A" w:rsidP="00A409E0">
            <w:pPr>
              <w:rPr>
                <w:rFonts w:ascii="Times New Roman" w:hAnsi="Times New Roman" w:cs="Times New Roman"/>
                <w:sz w:val="20"/>
                <w:szCs w:val="20"/>
              </w:rPr>
            </w:pPr>
            <w:r w:rsidRPr="003A3D94">
              <w:rPr>
                <w:rFonts w:ascii="Times New Roman" w:hAnsi="Times New Roman" w:cs="Times New Roman"/>
                <w:sz w:val="20"/>
                <w:szCs w:val="20"/>
              </w:rPr>
              <w:t>T</w:t>
            </w:r>
            <w:r w:rsidR="00B76B7A" w:rsidRPr="003A3D94">
              <w:rPr>
                <w:rFonts w:ascii="Times New Roman" w:hAnsi="Times New Roman" w:cs="Times New Roman"/>
                <w:sz w:val="20"/>
                <w:szCs w:val="20"/>
              </w:rPr>
              <w:t xml:space="preserve">ervikversiooni </w:t>
            </w:r>
            <w:r w:rsidRPr="003A3D94">
              <w:rPr>
                <w:rFonts w:ascii="Times New Roman" w:hAnsi="Times New Roman" w:cs="Times New Roman"/>
                <w:sz w:val="20"/>
                <w:szCs w:val="20"/>
              </w:rPr>
              <w:t xml:space="preserve">lisatud </w:t>
            </w:r>
            <w:r w:rsidR="00B76B7A" w:rsidRPr="003A3D94">
              <w:rPr>
                <w:rFonts w:ascii="Times New Roman" w:hAnsi="Times New Roman" w:cs="Times New Roman"/>
                <w:sz w:val="20"/>
                <w:szCs w:val="20"/>
              </w:rPr>
              <w:t xml:space="preserve">mais </w:t>
            </w:r>
            <w:r w:rsidRPr="003A3D94">
              <w:rPr>
                <w:rFonts w:ascii="Times New Roman" w:hAnsi="Times New Roman" w:cs="Times New Roman"/>
                <w:sz w:val="20"/>
                <w:szCs w:val="20"/>
              </w:rPr>
              <w:t>jõustun</w:t>
            </w:r>
            <w:r w:rsidR="00B76B7A" w:rsidRPr="003A3D94">
              <w:rPr>
                <w:rFonts w:ascii="Times New Roman" w:hAnsi="Times New Roman" w:cs="Times New Roman"/>
                <w:sz w:val="20"/>
                <w:szCs w:val="20"/>
              </w:rPr>
              <w:t>ud VTA muudatused</w:t>
            </w:r>
            <w:r w:rsidR="00A16BC5" w:rsidRPr="003A3D94">
              <w:rPr>
                <w:rFonts w:ascii="Times New Roman" w:hAnsi="Times New Roman" w:cs="Times New Roman"/>
                <w:sz w:val="20"/>
                <w:szCs w:val="20"/>
              </w:rPr>
              <w:t>.</w:t>
            </w:r>
          </w:p>
        </w:tc>
      </w:tr>
      <w:tr w:rsidR="00AB25BA" w:rsidRPr="003A3D94" w14:paraId="5E0ABDFF" w14:textId="77777777" w:rsidTr="003A3D94">
        <w:tc>
          <w:tcPr>
            <w:tcW w:w="689" w:type="dxa"/>
          </w:tcPr>
          <w:p w14:paraId="2CEFF35A" w14:textId="03BADC56" w:rsidR="00AB25BA" w:rsidRPr="003A3D94" w:rsidRDefault="00AB25BA" w:rsidP="00A409E0">
            <w:pPr>
              <w:rPr>
                <w:rFonts w:ascii="Times New Roman" w:hAnsi="Times New Roman" w:cs="Times New Roman"/>
                <w:sz w:val="20"/>
                <w:szCs w:val="20"/>
              </w:rPr>
            </w:pPr>
            <w:r w:rsidRPr="003A3D94">
              <w:rPr>
                <w:rFonts w:ascii="Times New Roman" w:hAnsi="Times New Roman" w:cs="Times New Roman"/>
                <w:sz w:val="20"/>
                <w:szCs w:val="20"/>
              </w:rPr>
              <w:t>16</w:t>
            </w:r>
          </w:p>
        </w:tc>
        <w:tc>
          <w:tcPr>
            <w:tcW w:w="1007" w:type="dxa"/>
          </w:tcPr>
          <w:p w14:paraId="0C5786FC" w14:textId="121751F1" w:rsidR="00AB25BA" w:rsidRPr="003A3D94" w:rsidRDefault="003D6512" w:rsidP="00A409E0">
            <w:pPr>
              <w:rPr>
                <w:rFonts w:ascii="Times New Roman" w:hAnsi="Times New Roman" w:cs="Times New Roman"/>
                <w:sz w:val="20"/>
                <w:szCs w:val="20"/>
              </w:rPr>
            </w:pPr>
            <w:proofErr w:type="spellStart"/>
            <w:r w:rsidRPr="003A3D94">
              <w:rPr>
                <w:rFonts w:ascii="Times New Roman" w:hAnsi="Times New Roman" w:cs="Times New Roman"/>
                <w:sz w:val="20"/>
                <w:szCs w:val="20"/>
              </w:rPr>
              <w:t>Otepöö</w:t>
            </w:r>
            <w:proofErr w:type="spellEnd"/>
            <w:r w:rsidRPr="003A3D94">
              <w:rPr>
                <w:rFonts w:ascii="Times New Roman" w:hAnsi="Times New Roman" w:cs="Times New Roman"/>
                <w:sz w:val="20"/>
                <w:szCs w:val="20"/>
              </w:rPr>
              <w:t xml:space="preserve"> vallavalit</w:t>
            </w:r>
            <w:r w:rsidRPr="003A3D94">
              <w:rPr>
                <w:rFonts w:ascii="Times New Roman" w:hAnsi="Times New Roman" w:cs="Times New Roman"/>
                <w:sz w:val="20"/>
                <w:szCs w:val="20"/>
              </w:rPr>
              <w:lastRenderedPageBreak/>
              <w:t xml:space="preserve">sus, Lea </w:t>
            </w:r>
            <w:proofErr w:type="spellStart"/>
            <w:r w:rsidRPr="003A3D94">
              <w:rPr>
                <w:rFonts w:ascii="Times New Roman" w:hAnsi="Times New Roman" w:cs="Times New Roman"/>
                <w:sz w:val="20"/>
                <w:szCs w:val="20"/>
              </w:rPr>
              <w:t>Ruuven</w:t>
            </w:r>
            <w:proofErr w:type="spellEnd"/>
          </w:p>
        </w:tc>
        <w:tc>
          <w:tcPr>
            <w:tcW w:w="1276" w:type="dxa"/>
          </w:tcPr>
          <w:p w14:paraId="14E2295F" w14:textId="749FCBA4" w:rsidR="00AB25BA" w:rsidRPr="003A3D94" w:rsidRDefault="00445C3C" w:rsidP="00A409E0">
            <w:pPr>
              <w:rPr>
                <w:rFonts w:ascii="Times New Roman" w:hAnsi="Times New Roman" w:cs="Times New Roman"/>
                <w:sz w:val="20"/>
                <w:szCs w:val="20"/>
              </w:rPr>
            </w:pPr>
            <w:r w:rsidRPr="003A3D94">
              <w:rPr>
                <w:rFonts w:ascii="Times New Roman" w:hAnsi="Times New Roman" w:cs="Times New Roman"/>
                <w:sz w:val="20"/>
                <w:szCs w:val="20"/>
              </w:rPr>
              <w:lastRenderedPageBreak/>
              <w:t>§ 5 lg 5</w:t>
            </w:r>
          </w:p>
        </w:tc>
        <w:tc>
          <w:tcPr>
            <w:tcW w:w="3686" w:type="dxa"/>
          </w:tcPr>
          <w:p w14:paraId="4359E15A" w14:textId="77777777" w:rsidR="00AB25BA" w:rsidRPr="003A3D94" w:rsidRDefault="00AB25BA" w:rsidP="00A409E0">
            <w:pPr>
              <w:rPr>
                <w:rFonts w:ascii="Times New Roman" w:hAnsi="Times New Roman" w:cs="Times New Roman"/>
                <w:sz w:val="20"/>
                <w:szCs w:val="20"/>
              </w:rPr>
            </w:pPr>
          </w:p>
        </w:tc>
        <w:tc>
          <w:tcPr>
            <w:tcW w:w="3685" w:type="dxa"/>
          </w:tcPr>
          <w:p w14:paraId="30CEF524" w14:textId="77777777" w:rsidR="002651B2" w:rsidRPr="003A3D94" w:rsidRDefault="002651B2" w:rsidP="002651B2">
            <w:pPr>
              <w:rPr>
                <w:rFonts w:ascii="Times New Roman" w:hAnsi="Times New Roman" w:cs="Times New Roman"/>
                <w:sz w:val="20"/>
                <w:szCs w:val="20"/>
              </w:rPr>
            </w:pPr>
            <w:r w:rsidRPr="003A3D94">
              <w:rPr>
                <w:rFonts w:ascii="Times New Roman" w:hAnsi="Times New Roman" w:cs="Times New Roman"/>
                <w:sz w:val="20"/>
                <w:szCs w:val="20"/>
              </w:rPr>
              <w:t xml:space="preserve">Teeme ettepaneku määruse „Kättesaadavate kvaliteetsete avalike teenuste toetuse andmise tingimused ja </w:t>
            </w:r>
            <w:r w:rsidRPr="003A3D94">
              <w:rPr>
                <w:rFonts w:ascii="Times New Roman" w:hAnsi="Times New Roman" w:cs="Times New Roman"/>
                <w:sz w:val="20"/>
                <w:szCs w:val="20"/>
              </w:rPr>
              <w:lastRenderedPageBreak/>
              <w:t xml:space="preserve">kord“ paragrahvi 4 lõike 1 punktides  1  ja  4  nimetatud  tegevustes  suurendada investeeringu kulu sarnaselt nagu on punktides 2 ja 3 nimetatud tegevustes ja kohaliku omavalitsuse korralduse seaduse § 6 lõike 1 kohase elamu- ja kommunaalmajanduse arendamise puhul kuni 100 protsendini või 95 protsendini. </w:t>
            </w:r>
          </w:p>
          <w:p w14:paraId="0E9F2758" w14:textId="77777777" w:rsidR="002651B2" w:rsidRPr="003A3D94" w:rsidRDefault="002651B2" w:rsidP="002651B2">
            <w:pPr>
              <w:rPr>
                <w:rFonts w:ascii="Times New Roman" w:hAnsi="Times New Roman" w:cs="Times New Roman"/>
                <w:sz w:val="20"/>
                <w:szCs w:val="20"/>
              </w:rPr>
            </w:pPr>
            <w:r w:rsidRPr="003A3D94">
              <w:rPr>
                <w:rFonts w:ascii="Times New Roman" w:hAnsi="Times New Roman" w:cs="Times New Roman"/>
                <w:sz w:val="20"/>
                <w:szCs w:val="20"/>
              </w:rPr>
              <w:t xml:space="preserve">Suuremahuliste investeeringute puhul tundub panna arendustegevuste peale 15 protsenti ebamõistlik ja ebamajanduslik. </w:t>
            </w:r>
          </w:p>
          <w:p w14:paraId="0AB51677" w14:textId="77777777" w:rsidR="002651B2" w:rsidRPr="003A3D94" w:rsidRDefault="002651B2" w:rsidP="002651B2">
            <w:pPr>
              <w:rPr>
                <w:rFonts w:ascii="Times New Roman" w:hAnsi="Times New Roman" w:cs="Times New Roman"/>
                <w:sz w:val="20"/>
                <w:szCs w:val="20"/>
              </w:rPr>
            </w:pPr>
            <w:r w:rsidRPr="003A3D94">
              <w:rPr>
                <w:rFonts w:ascii="Times New Roman" w:hAnsi="Times New Roman" w:cs="Times New Roman"/>
                <w:sz w:val="20"/>
                <w:szCs w:val="20"/>
              </w:rPr>
              <w:t xml:space="preserve">Näiteks 2 miljonilise projekti puhul arvestades toetust ja minimaalset omaosalust on see ca 300 000 eurot, mis on väga suur summa samas, kui omavalitsused vaevlevad, et kvaliteetsete teenuste tagamiseks vajalike investeeringute jaoks raha leida. </w:t>
            </w:r>
          </w:p>
          <w:p w14:paraId="6A270A3E" w14:textId="77777777" w:rsidR="00AB25BA" w:rsidRPr="003A3D94" w:rsidRDefault="00AB25BA" w:rsidP="00A409E0">
            <w:pPr>
              <w:rPr>
                <w:rFonts w:ascii="Times New Roman" w:hAnsi="Times New Roman" w:cs="Times New Roman"/>
                <w:sz w:val="20"/>
                <w:szCs w:val="20"/>
              </w:rPr>
            </w:pPr>
          </w:p>
        </w:tc>
        <w:tc>
          <w:tcPr>
            <w:tcW w:w="3649" w:type="dxa"/>
          </w:tcPr>
          <w:p w14:paraId="4D9C4C3B" w14:textId="41835383" w:rsidR="00AB25BA" w:rsidRPr="003A3D94" w:rsidRDefault="0070655A" w:rsidP="00A409E0">
            <w:pPr>
              <w:rPr>
                <w:rFonts w:ascii="Times New Roman" w:hAnsi="Times New Roman" w:cs="Times New Roman"/>
                <w:sz w:val="20"/>
                <w:szCs w:val="20"/>
              </w:rPr>
            </w:pPr>
            <w:r w:rsidRPr="003A3D94">
              <w:rPr>
                <w:rFonts w:ascii="Times New Roman" w:hAnsi="Times New Roman" w:cs="Times New Roman"/>
                <w:sz w:val="20"/>
                <w:szCs w:val="20"/>
              </w:rPr>
              <w:lastRenderedPageBreak/>
              <w:t xml:space="preserve">Mitte arvestatud. Meetme I vooru tulemused on näidanud, et avalike teenuste ümberkorraldamise projektides, mille </w:t>
            </w:r>
            <w:r w:rsidRPr="003A3D94">
              <w:rPr>
                <w:rFonts w:ascii="Times New Roman" w:hAnsi="Times New Roman" w:cs="Times New Roman"/>
                <w:sz w:val="20"/>
                <w:szCs w:val="20"/>
              </w:rPr>
              <w:lastRenderedPageBreak/>
              <w:t>sisuks on mõne teenuse või teenusvaldkonna terviklik uuendamine kogu kohaliku omavalitsuse või selle suurema piirkonna tasemel, on võimalik taotlus sisustada vajalike ja mõjusate arendustegevustega</w:t>
            </w:r>
            <w:r w:rsidR="00AB6DB7" w:rsidRPr="003A3D94">
              <w:rPr>
                <w:rFonts w:ascii="Times New Roman" w:hAnsi="Times New Roman" w:cs="Times New Roman"/>
                <w:sz w:val="20"/>
                <w:szCs w:val="20"/>
              </w:rPr>
              <w:t>, mis toetavad uuendatud teenuskorralduse juurutamist</w:t>
            </w:r>
            <w:r w:rsidRPr="003A3D94">
              <w:rPr>
                <w:rFonts w:ascii="Times New Roman" w:hAnsi="Times New Roman" w:cs="Times New Roman"/>
                <w:sz w:val="20"/>
                <w:szCs w:val="20"/>
              </w:rPr>
              <w:t xml:space="preserve">. </w:t>
            </w:r>
          </w:p>
          <w:p w14:paraId="766FB7D0" w14:textId="2F7A3CFA" w:rsidR="0070655A" w:rsidRPr="003A3D94" w:rsidRDefault="0070655A" w:rsidP="00A409E0">
            <w:pPr>
              <w:rPr>
                <w:rFonts w:ascii="Times New Roman" w:hAnsi="Times New Roman" w:cs="Times New Roman"/>
                <w:sz w:val="20"/>
                <w:szCs w:val="20"/>
              </w:rPr>
            </w:pPr>
            <w:r w:rsidRPr="003A3D94">
              <w:rPr>
                <w:rFonts w:ascii="Times New Roman" w:hAnsi="Times New Roman" w:cs="Times New Roman"/>
                <w:sz w:val="20"/>
                <w:szCs w:val="20"/>
              </w:rPr>
              <w:t>Toetusmeetme eesmärgiks ei ole toetada investeeringuid üksikobjektidesse, vaid pakkuda tuge kohalikele omavalitsustele , kes on võtnud ette mõne</w:t>
            </w:r>
            <w:r w:rsidR="00AB6DB7" w:rsidRPr="003A3D94">
              <w:rPr>
                <w:rFonts w:ascii="Times New Roman" w:hAnsi="Times New Roman" w:cs="Times New Roman"/>
                <w:sz w:val="20"/>
                <w:szCs w:val="20"/>
              </w:rPr>
              <w:t xml:space="preserve"> piirkonna teenuste korralduse või</w:t>
            </w:r>
            <w:r w:rsidRPr="003A3D94">
              <w:rPr>
                <w:rFonts w:ascii="Times New Roman" w:hAnsi="Times New Roman" w:cs="Times New Roman"/>
                <w:sz w:val="20"/>
                <w:szCs w:val="20"/>
              </w:rPr>
              <w:t xml:space="preserve"> teenusvaldkonna põhjaliku uuenduse, et paremini vastata muutunud demograafilistele ja </w:t>
            </w:r>
            <w:proofErr w:type="spellStart"/>
            <w:r w:rsidRPr="003A3D94">
              <w:rPr>
                <w:rFonts w:ascii="Times New Roman" w:hAnsi="Times New Roman" w:cs="Times New Roman"/>
                <w:sz w:val="20"/>
                <w:szCs w:val="20"/>
              </w:rPr>
              <w:t>sotsiaal-majanduslikele</w:t>
            </w:r>
            <w:proofErr w:type="spellEnd"/>
            <w:r w:rsidRPr="003A3D94">
              <w:rPr>
                <w:rFonts w:ascii="Times New Roman" w:hAnsi="Times New Roman" w:cs="Times New Roman"/>
                <w:sz w:val="20"/>
                <w:szCs w:val="20"/>
              </w:rPr>
              <w:t xml:space="preserve"> oludele. Määruse muudatusega tuuakse muuhulgas selgemalt välja teenuste uuendamise projektidelt oodatavate arendustegevuste sisu, samuti on võimalik projekti eelarvesse lisada selliseid arendus-, teadlikkuse tõstmise ja teenuse disaini tegevusi, mis on käivitunud enne taotluse esitamist.</w:t>
            </w:r>
          </w:p>
          <w:p w14:paraId="76C0D07A" w14:textId="7ABEF500" w:rsidR="0070655A" w:rsidRPr="003A3D94" w:rsidRDefault="0070655A" w:rsidP="00A409E0">
            <w:pPr>
              <w:rPr>
                <w:rFonts w:ascii="Times New Roman" w:hAnsi="Times New Roman" w:cs="Times New Roman"/>
                <w:sz w:val="20"/>
                <w:szCs w:val="20"/>
              </w:rPr>
            </w:pPr>
            <w:proofErr w:type="spellStart"/>
            <w:r w:rsidRPr="003A3D94">
              <w:rPr>
                <w:rFonts w:ascii="Times New Roman" w:hAnsi="Times New Roman" w:cs="Times New Roman"/>
                <w:sz w:val="20"/>
                <w:szCs w:val="20"/>
              </w:rPr>
              <w:t>KOVidele</w:t>
            </w:r>
            <w:proofErr w:type="spellEnd"/>
            <w:r w:rsidRPr="003A3D94">
              <w:rPr>
                <w:rFonts w:ascii="Times New Roman" w:hAnsi="Times New Roman" w:cs="Times New Roman"/>
                <w:sz w:val="20"/>
                <w:szCs w:val="20"/>
              </w:rPr>
              <w:t>, kellel puudub vajadus mõne avaliku teenuse sisuliseks ümberkorraldamiseks, ning vajaduste keskmeks on investeering uue hoone rajamiseks või olemasoleva hoone energiatõhususe parandamiseks, on olemas täiendavad toetusvõimalused.</w:t>
            </w:r>
          </w:p>
        </w:tc>
      </w:tr>
    </w:tbl>
    <w:p w14:paraId="79607828" w14:textId="77777777" w:rsidR="009E14EC" w:rsidRPr="003A3D94" w:rsidRDefault="009E14EC">
      <w:pPr>
        <w:rPr>
          <w:rFonts w:ascii="Times New Roman" w:hAnsi="Times New Roman" w:cs="Times New Roman"/>
          <w:sz w:val="20"/>
          <w:szCs w:val="20"/>
        </w:rPr>
      </w:pPr>
    </w:p>
    <w:sectPr w:rsidR="009E14EC" w:rsidRPr="003A3D94" w:rsidSect="00AB25BA">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Katrin Orgusaar" w:date="2024-07-11T14:29:00Z" w:initials="KO">
    <w:p w14:paraId="278294C5" w14:textId="77777777" w:rsidR="00756F34" w:rsidRDefault="00756F34" w:rsidP="00756F34">
      <w:pPr>
        <w:pStyle w:val="CommentText"/>
        <w:jc w:val="left"/>
      </w:pPr>
      <w:r>
        <w:rPr>
          <w:rStyle w:val="CommentReference"/>
        </w:rPr>
        <w:annotationRef/>
      </w:r>
      <w:r>
        <w:t xml:space="preserve">Vt siit </w:t>
      </w:r>
      <w:hyperlink r:id="rId1" w:history="1">
        <w:r w:rsidRPr="00254040">
          <w:rPr>
            <w:rStyle w:val="Hyperlink"/>
          </w:rPr>
          <w:t>https://eur-lex.europa.eu/legal-content/ET/TXT/PDF/?uri=CELEX:32023R1315</w:t>
        </w:r>
      </w:hyperlink>
      <w:r>
        <w:t xml:space="preserve"> </w:t>
      </w:r>
    </w:p>
    <w:p w14:paraId="5792091B" w14:textId="77777777" w:rsidR="00756F34" w:rsidRDefault="00756F34" w:rsidP="00756F34">
      <w:pPr>
        <w:pStyle w:val="CommentText"/>
        <w:jc w:val="left"/>
      </w:pPr>
    </w:p>
    <w:p w14:paraId="6AA1B303" w14:textId="77777777" w:rsidR="00756F34" w:rsidRDefault="00005E7E" w:rsidP="00756F34">
      <w:pPr>
        <w:pStyle w:val="CommentText"/>
        <w:jc w:val="left"/>
      </w:pPr>
      <w:hyperlink r:id="rId2" w:history="1">
        <w:r w:rsidR="00756F34" w:rsidRPr="00254040">
          <w:rPr>
            <w:rStyle w:val="Hyperlink"/>
          </w:rPr>
          <w:t>https://www.fin.ee/riigihanked-riigiabi-osalused/riigiabi/grupierandiga-holmatud-riigiabi</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A1B3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91E772" w16cex:dateUtc="2024-07-11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A1B303" w16cid:durableId="2A91E7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rin Orgusaar">
    <w15:presenceInfo w15:providerId="AD" w15:userId="S::Katrin.Orgusaar@agri.ee::28bca0a7-5a14-48d8-9ae6-4be8ef796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47"/>
    <w:rsid w:val="00002A9E"/>
    <w:rsid w:val="00005E7E"/>
    <w:rsid w:val="000158E4"/>
    <w:rsid w:val="000207E2"/>
    <w:rsid w:val="00094F19"/>
    <w:rsid w:val="000A056B"/>
    <w:rsid w:val="000C13F2"/>
    <w:rsid w:val="000E3AA0"/>
    <w:rsid w:val="000F59AD"/>
    <w:rsid w:val="001218B9"/>
    <w:rsid w:val="00122D92"/>
    <w:rsid w:val="00123DD5"/>
    <w:rsid w:val="00135245"/>
    <w:rsid w:val="0017107A"/>
    <w:rsid w:val="00171BF9"/>
    <w:rsid w:val="00182069"/>
    <w:rsid w:val="002651B2"/>
    <w:rsid w:val="0026787C"/>
    <w:rsid w:val="00324A5C"/>
    <w:rsid w:val="003A3D94"/>
    <w:rsid w:val="003D1541"/>
    <w:rsid w:val="003D6512"/>
    <w:rsid w:val="003E347B"/>
    <w:rsid w:val="003E559D"/>
    <w:rsid w:val="00425D2A"/>
    <w:rsid w:val="00445C3C"/>
    <w:rsid w:val="00482373"/>
    <w:rsid w:val="004D1098"/>
    <w:rsid w:val="004D2B61"/>
    <w:rsid w:val="004F08F8"/>
    <w:rsid w:val="00523F84"/>
    <w:rsid w:val="005321F9"/>
    <w:rsid w:val="005B1E05"/>
    <w:rsid w:val="005F5A72"/>
    <w:rsid w:val="006358A0"/>
    <w:rsid w:val="00647A35"/>
    <w:rsid w:val="0070655A"/>
    <w:rsid w:val="00707B1B"/>
    <w:rsid w:val="007238CE"/>
    <w:rsid w:val="007310F5"/>
    <w:rsid w:val="00735A57"/>
    <w:rsid w:val="00756610"/>
    <w:rsid w:val="00756F34"/>
    <w:rsid w:val="00762E11"/>
    <w:rsid w:val="0076502E"/>
    <w:rsid w:val="007D1732"/>
    <w:rsid w:val="007E593C"/>
    <w:rsid w:val="007F0127"/>
    <w:rsid w:val="00811AA2"/>
    <w:rsid w:val="008B61DD"/>
    <w:rsid w:val="008D63CD"/>
    <w:rsid w:val="0091783C"/>
    <w:rsid w:val="009301E0"/>
    <w:rsid w:val="00972B43"/>
    <w:rsid w:val="009902D8"/>
    <w:rsid w:val="009A07CA"/>
    <w:rsid w:val="009D26AF"/>
    <w:rsid w:val="009E14EC"/>
    <w:rsid w:val="009F1B98"/>
    <w:rsid w:val="00A16BC5"/>
    <w:rsid w:val="00A20027"/>
    <w:rsid w:val="00A43CAD"/>
    <w:rsid w:val="00A87DA9"/>
    <w:rsid w:val="00AB25BA"/>
    <w:rsid w:val="00AB2E3A"/>
    <w:rsid w:val="00AB6DB7"/>
    <w:rsid w:val="00AE5C1F"/>
    <w:rsid w:val="00B32E8A"/>
    <w:rsid w:val="00B45C58"/>
    <w:rsid w:val="00B76B7A"/>
    <w:rsid w:val="00B77CEE"/>
    <w:rsid w:val="00BD6197"/>
    <w:rsid w:val="00BF22CC"/>
    <w:rsid w:val="00C4553F"/>
    <w:rsid w:val="00C47E58"/>
    <w:rsid w:val="00C762BD"/>
    <w:rsid w:val="00C8764F"/>
    <w:rsid w:val="00C9561B"/>
    <w:rsid w:val="00CD3186"/>
    <w:rsid w:val="00CE41AB"/>
    <w:rsid w:val="00D03C90"/>
    <w:rsid w:val="00D1607F"/>
    <w:rsid w:val="00D40556"/>
    <w:rsid w:val="00D522A1"/>
    <w:rsid w:val="00D76762"/>
    <w:rsid w:val="00DB6325"/>
    <w:rsid w:val="00E07F5F"/>
    <w:rsid w:val="00E20EA6"/>
    <w:rsid w:val="00E22A88"/>
    <w:rsid w:val="00E50213"/>
    <w:rsid w:val="00E76E27"/>
    <w:rsid w:val="00EE4D47"/>
    <w:rsid w:val="00F0099D"/>
    <w:rsid w:val="00F468EF"/>
    <w:rsid w:val="00F6732A"/>
    <w:rsid w:val="00FB62D4"/>
    <w:rsid w:val="00FE0B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20CD"/>
  <w15:chartTrackingRefBased/>
  <w15:docId w15:val="{CDEAAA0F-B92A-4179-9E13-DF08F3F9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BA"/>
    <w:rPr>
      <w:rFonts w:eastAsia="SimSun"/>
      <w:kern w:val="0"/>
      <w14:ligatures w14:val="none"/>
    </w:rPr>
  </w:style>
  <w:style w:type="paragraph" w:styleId="Heading1">
    <w:name w:val="heading 1"/>
    <w:basedOn w:val="Normal"/>
    <w:next w:val="Normal"/>
    <w:link w:val="Heading1Char"/>
    <w:uiPriority w:val="9"/>
    <w:qFormat/>
    <w:rsid w:val="00EE4D4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4D4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4D4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4D4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E4D4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E4D4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E4D4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E4D4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E4D4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D47"/>
    <w:rPr>
      <w:rFonts w:eastAsiaTheme="majorEastAsia" w:cstheme="majorBidi"/>
      <w:color w:val="272727" w:themeColor="text1" w:themeTint="D8"/>
    </w:rPr>
  </w:style>
  <w:style w:type="paragraph" w:styleId="Title">
    <w:name w:val="Title"/>
    <w:basedOn w:val="Normal"/>
    <w:next w:val="Normal"/>
    <w:link w:val="TitleChar"/>
    <w:uiPriority w:val="10"/>
    <w:qFormat/>
    <w:rsid w:val="00EE4D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4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D4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4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D47"/>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EE4D47"/>
    <w:rPr>
      <w:i/>
      <w:iCs/>
      <w:color w:val="404040" w:themeColor="text1" w:themeTint="BF"/>
    </w:rPr>
  </w:style>
  <w:style w:type="paragraph" w:styleId="ListParagraph">
    <w:name w:val="List Paragraph"/>
    <w:basedOn w:val="Normal"/>
    <w:uiPriority w:val="34"/>
    <w:qFormat/>
    <w:rsid w:val="00EE4D47"/>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EE4D47"/>
    <w:rPr>
      <w:i/>
      <w:iCs/>
      <w:color w:val="0F4761" w:themeColor="accent1" w:themeShade="BF"/>
    </w:rPr>
  </w:style>
  <w:style w:type="paragraph" w:styleId="IntenseQuote">
    <w:name w:val="Intense Quote"/>
    <w:basedOn w:val="Normal"/>
    <w:next w:val="Normal"/>
    <w:link w:val="IntenseQuoteChar"/>
    <w:uiPriority w:val="30"/>
    <w:qFormat/>
    <w:rsid w:val="00EE4D4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E4D47"/>
    <w:rPr>
      <w:i/>
      <w:iCs/>
      <w:color w:val="0F4761" w:themeColor="accent1" w:themeShade="BF"/>
    </w:rPr>
  </w:style>
  <w:style w:type="character" w:styleId="IntenseReference">
    <w:name w:val="Intense Reference"/>
    <w:basedOn w:val="DefaultParagraphFont"/>
    <w:uiPriority w:val="32"/>
    <w:qFormat/>
    <w:rsid w:val="00EE4D47"/>
    <w:rPr>
      <w:b/>
      <w:bCs/>
      <w:smallCaps/>
      <w:color w:val="0F4761" w:themeColor="accent1" w:themeShade="BF"/>
      <w:spacing w:val="5"/>
    </w:rPr>
  </w:style>
  <w:style w:type="table" w:styleId="TableGrid">
    <w:name w:val="Table Grid"/>
    <w:basedOn w:val="TableNormal"/>
    <w:uiPriority w:val="39"/>
    <w:rsid w:val="00AB25BA"/>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610"/>
    <w:rPr>
      <w:sz w:val="16"/>
      <w:szCs w:val="16"/>
    </w:rPr>
  </w:style>
  <w:style w:type="paragraph" w:styleId="CommentText">
    <w:name w:val="annotation text"/>
    <w:basedOn w:val="Normal"/>
    <w:link w:val="CommentTextChar"/>
    <w:uiPriority w:val="99"/>
    <w:unhideWhenUsed/>
    <w:rsid w:val="00756610"/>
    <w:pPr>
      <w:widowControl w:val="0"/>
      <w:suppressAutoHyphens/>
      <w:spacing w:after="0" w:line="240" w:lineRule="auto"/>
      <w:jc w:val="both"/>
    </w:pPr>
    <w:rPr>
      <w:rFonts w:ascii="Times New Roman" w:hAnsi="Times New Roman" w:cs="Mangal"/>
      <w:kern w:val="1"/>
      <w:sz w:val="20"/>
      <w:szCs w:val="18"/>
      <w:lang w:eastAsia="zh-CN" w:bidi="hi-IN"/>
    </w:rPr>
  </w:style>
  <w:style w:type="character" w:customStyle="1" w:styleId="CommentTextChar">
    <w:name w:val="Comment Text Char"/>
    <w:basedOn w:val="DefaultParagraphFont"/>
    <w:link w:val="CommentText"/>
    <w:uiPriority w:val="99"/>
    <w:rsid w:val="00756610"/>
    <w:rPr>
      <w:rFonts w:ascii="Times New Roman" w:eastAsia="SimSun" w:hAnsi="Times New Roman" w:cs="Mangal"/>
      <w:kern w:val="1"/>
      <w:sz w:val="20"/>
      <w:szCs w:val="18"/>
      <w:lang w:eastAsia="zh-CN" w:bidi="hi-IN"/>
      <w14:ligatures w14:val="none"/>
    </w:rPr>
  </w:style>
  <w:style w:type="paragraph" w:styleId="Revision">
    <w:name w:val="Revision"/>
    <w:hidden/>
    <w:uiPriority w:val="99"/>
    <w:semiHidden/>
    <w:rsid w:val="00C9561B"/>
    <w:pPr>
      <w:spacing w:after="0" w:line="240" w:lineRule="auto"/>
    </w:pPr>
    <w:rPr>
      <w:rFonts w:eastAsia="SimSun"/>
      <w:kern w:val="0"/>
      <w14:ligatures w14:val="none"/>
    </w:rPr>
  </w:style>
  <w:style w:type="paragraph" w:customStyle="1" w:styleId="Default">
    <w:name w:val="Default"/>
    <w:rsid w:val="000A056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CommentSubject">
    <w:name w:val="annotation subject"/>
    <w:basedOn w:val="CommentText"/>
    <w:next w:val="CommentText"/>
    <w:link w:val="CommentSubjectChar"/>
    <w:uiPriority w:val="99"/>
    <w:semiHidden/>
    <w:unhideWhenUsed/>
    <w:rsid w:val="00F6732A"/>
    <w:pPr>
      <w:widowControl/>
      <w:suppressAutoHyphens w:val="0"/>
      <w:spacing w:after="160"/>
      <w:jc w:val="left"/>
    </w:pPr>
    <w:rPr>
      <w:rFonts w:ascii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F6732A"/>
    <w:rPr>
      <w:rFonts w:ascii="Times New Roman" w:eastAsia="SimSun" w:hAnsi="Times New Roman" w:cs="Mangal"/>
      <w:b/>
      <w:bCs/>
      <w:kern w:val="0"/>
      <w:sz w:val="20"/>
      <w:szCs w:val="20"/>
      <w:lang w:eastAsia="zh-CN" w:bidi="hi-IN"/>
      <w14:ligatures w14:val="none"/>
    </w:rPr>
  </w:style>
  <w:style w:type="character" w:styleId="Strong">
    <w:name w:val="Strong"/>
    <w:basedOn w:val="DefaultParagraphFont"/>
    <w:uiPriority w:val="22"/>
    <w:qFormat/>
    <w:rsid w:val="000207E2"/>
    <w:rPr>
      <w:b/>
      <w:bCs/>
    </w:rPr>
  </w:style>
  <w:style w:type="character" w:styleId="Hyperlink">
    <w:name w:val="Hyperlink"/>
    <w:basedOn w:val="DefaultParagraphFont"/>
    <w:uiPriority w:val="99"/>
    <w:unhideWhenUsed/>
    <w:rsid w:val="000207E2"/>
    <w:rPr>
      <w:color w:val="467886" w:themeColor="hyperlink"/>
      <w:u w:val="single"/>
    </w:rPr>
  </w:style>
  <w:style w:type="character" w:styleId="UnresolvedMention">
    <w:name w:val="Unresolved Mention"/>
    <w:basedOn w:val="DefaultParagraphFont"/>
    <w:uiPriority w:val="99"/>
    <w:semiHidden/>
    <w:unhideWhenUsed/>
    <w:rsid w:val="000207E2"/>
    <w:rPr>
      <w:color w:val="605E5C"/>
      <w:shd w:val="clear" w:color="auto" w:fill="E1DFDD"/>
    </w:rPr>
  </w:style>
  <w:style w:type="paragraph" w:customStyle="1" w:styleId="Tekst">
    <w:name w:val="Tekst"/>
    <w:autoRedefine/>
    <w:qFormat/>
    <w:rsid w:val="00135245"/>
    <w:pPr>
      <w:spacing w:after="0" w:line="240" w:lineRule="auto"/>
      <w:jc w:val="both"/>
    </w:pPr>
    <w:rPr>
      <w:rFonts w:ascii="Times New Roman" w:eastAsia="SimSun" w:hAnsi="Times New Roman" w:cs="Times New Roman"/>
      <w:iCs/>
      <w:color w:val="202020"/>
      <w:kern w:val="1"/>
      <w:sz w:val="24"/>
      <w:szCs w:val="24"/>
      <w:shd w:val="clear" w:color="auto" w:fill="FFFFFF"/>
      <w:lang w:eastAsia="zh-CN" w:bidi="hi-IN"/>
      <w14:ligatures w14:val="none"/>
    </w:rPr>
  </w:style>
  <w:style w:type="paragraph" w:customStyle="1" w:styleId="pf0">
    <w:name w:val="pf0"/>
    <w:basedOn w:val="Normal"/>
    <w:rsid w:val="0026787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2678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357">
      <w:bodyDiv w:val="1"/>
      <w:marLeft w:val="0"/>
      <w:marRight w:val="0"/>
      <w:marTop w:val="0"/>
      <w:marBottom w:val="0"/>
      <w:divBdr>
        <w:top w:val="none" w:sz="0" w:space="0" w:color="auto"/>
        <w:left w:val="none" w:sz="0" w:space="0" w:color="auto"/>
        <w:bottom w:val="none" w:sz="0" w:space="0" w:color="auto"/>
        <w:right w:val="none" w:sz="0" w:space="0" w:color="auto"/>
      </w:divBdr>
    </w:div>
    <w:div w:id="9189953">
      <w:bodyDiv w:val="1"/>
      <w:marLeft w:val="0"/>
      <w:marRight w:val="0"/>
      <w:marTop w:val="0"/>
      <w:marBottom w:val="0"/>
      <w:divBdr>
        <w:top w:val="none" w:sz="0" w:space="0" w:color="auto"/>
        <w:left w:val="none" w:sz="0" w:space="0" w:color="auto"/>
        <w:bottom w:val="none" w:sz="0" w:space="0" w:color="auto"/>
        <w:right w:val="none" w:sz="0" w:space="0" w:color="auto"/>
      </w:divBdr>
    </w:div>
    <w:div w:id="32778140">
      <w:bodyDiv w:val="1"/>
      <w:marLeft w:val="0"/>
      <w:marRight w:val="0"/>
      <w:marTop w:val="0"/>
      <w:marBottom w:val="0"/>
      <w:divBdr>
        <w:top w:val="none" w:sz="0" w:space="0" w:color="auto"/>
        <w:left w:val="none" w:sz="0" w:space="0" w:color="auto"/>
        <w:bottom w:val="none" w:sz="0" w:space="0" w:color="auto"/>
        <w:right w:val="none" w:sz="0" w:space="0" w:color="auto"/>
      </w:divBdr>
    </w:div>
    <w:div w:id="242616584">
      <w:bodyDiv w:val="1"/>
      <w:marLeft w:val="0"/>
      <w:marRight w:val="0"/>
      <w:marTop w:val="0"/>
      <w:marBottom w:val="0"/>
      <w:divBdr>
        <w:top w:val="none" w:sz="0" w:space="0" w:color="auto"/>
        <w:left w:val="none" w:sz="0" w:space="0" w:color="auto"/>
        <w:bottom w:val="none" w:sz="0" w:space="0" w:color="auto"/>
        <w:right w:val="none" w:sz="0" w:space="0" w:color="auto"/>
      </w:divBdr>
    </w:div>
    <w:div w:id="498235468">
      <w:bodyDiv w:val="1"/>
      <w:marLeft w:val="0"/>
      <w:marRight w:val="0"/>
      <w:marTop w:val="0"/>
      <w:marBottom w:val="0"/>
      <w:divBdr>
        <w:top w:val="none" w:sz="0" w:space="0" w:color="auto"/>
        <w:left w:val="none" w:sz="0" w:space="0" w:color="auto"/>
        <w:bottom w:val="none" w:sz="0" w:space="0" w:color="auto"/>
        <w:right w:val="none" w:sz="0" w:space="0" w:color="auto"/>
      </w:divBdr>
    </w:div>
    <w:div w:id="670064258">
      <w:bodyDiv w:val="1"/>
      <w:marLeft w:val="0"/>
      <w:marRight w:val="0"/>
      <w:marTop w:val="0"/>
      <w:marBottom w:val="0"/>
      <w:divBdr>
        <w:top w:val="none" w:sz="0" w:space="0" w:color="auto"/>
        <w:left w:val="none" w:sz="0" w:space="0" w:color="auto"/>
        <w:bottom w:val="none" w:sz="0" w:space="0" w:color="auto"/>
        <w:right w:val="none" w:sz="0" w:space="0" w:color="auto"/>
      </w:divBdr>
    </w:div>
    <w:div w:id="677773985">
      <w:bodyDiv w:val="1"/>
      <w:marLeft w:val="0"/>
      <w:marRight w:val="0"/>
      <w:marTop w:val="0"/>
      <w:marBottom w:val="0"/>
      <w:divBdr>
        <w:top w:val="none" w:sz="0" w:space="0" w:color="auto"/>
        <w:left w:val="none" w:sz="0" w:space="0" w:color="auto"/>
        <w:bottom w:val="none" w:sz="0" w:space="0" w:color="auto"/>
        <w:right w:val="none" w:sz="0" w:space="0" w:color="auto"/>
      </w:divBdr>
    </w:div>
    <w:div w:id="702824774">
      <w:bodyDiv w:val="1"/>
      <w:marLeft w:val="0"/>
      <w:marRight w:val="0"/>
      <w:marTop w:val="0"/>
      <w:marBottom w:val="0"/>
      <w:divBdr>
        <w:top w:val="none" w:sz="0" w:space="0" w:color="auto"/>
        <w:left w:val="none" w:sz="0" w:space="0" w:color="auto"/>
        <w:bottom w:val="none" w:sz="0" w:space="0" w:color="auto"/>
        <w:right w:val="none" w:sz="0" w:space="0" w:color="auto"/>
      </w:divBdr>
    </w:div>
    <w:div w:id="708724739">
      <w:bodyDiv w:val="1"/>
      <w:marLeft w:val="0"/>
      <w:marRight w:val="0"/>
      <w:marTop w:val="0"/>
      <w:marBottom w:val="0"/>
      <w:divBdr>
        <w:top w:val="none" w:sz="0" w:space="0" w:color="auto"/>
        <w:left w:val="none" w:sz="0" w:space="0" w:color="auto"/>
        <w:bottom w:val="none" w:sz="0" w:space="0" w:color="auto"/>
        <w:right w:val="none" w:sz="0" w:space="0" w:color="auto"/>
      </w:divBdr>
    </w:div>
    <w:div w:id="755171332">
      <w:bodyDiv w:val="1"/>
      <w:marLeft w:val="0"/>
      <w:marRight w:val="0"/>
      <w:marTop w:val="0"/>
      <w:marBottom w:val="0"/>
      <w:divBdr>
        <w:top w:val="none" w:sz="0" w:space="0" w:color="auto"/>
        <w:left w:val="none" w:sz="0" w:space="0" w:color="auto"/>
        <w:bottom w:val="none" w:sz="0" w:space="0" w:color="auto"/>
        <w:right w:val="none" w:sz="0" w:space="0" w:color="auto"/>
      </w:divBdr>
    </w:div>
    <w:div w:id="824712031">
      <w:bodyDiv w:val="1"/>
      <w:marLeft w:val="0"/>
      <w:marRight w:val="0"/>
      <w:marTop w:val="0"/>
      <w:marBottom w:val="0"/>
      <w:divBdr>
        <w:top w:val="none" w:sz="0" w:space="0" w:color="auto"/>
        <w:left w:val="none" w:sz="0" w:space="0" w:color="auto"/>
        <w:bottom w:val="none" w:sz="0" w:space="0" w:color="auto"/>
        <w:right w:val="none" w:sz="0" w:space="0" w:color="auto"/>
      </w:divBdr>
    </w:div>
    <w:div w:id="854156030">
      <w:bodyDiv w:val="1"/>
      <w:marLeft w:val="0"/>
      <w:marRight w:val="0"/>
      <w:marTop w:val="0"/>
      <w:marBottom w:val="0"/>
      <w:divBdr>
        <w:top w:val="none" w:sz="0" w:space="0" w:color="auto"/>
        <w:left w:val="none" w:sz="0" w:space="0" w:color="auto"/>
        <w:bottom w:val="none" w:sz="0" w:space="0" w:color="auto"/>
        <w:right w:val="none" w:sz="0" w:space="0" w:color="auto"/>
      </w:divBdr>
    </w:div>
    <w:div w:id="910969475">
      <w:bodyDiv w:val="1"/>
      <w:marLeft w:val="0"/>
      <w:marRight w:val="0"/>
      <w:marTop w:val="0"/>
      <w:marBottom w:val="0"/>
      <w:divBdr>
        <w:top w:val="none" w:sz="0" w:space="0" w:color="auto"/>
        <w:left w:val="none" w:sz="0" w:space="0" w:color="auto"/>
        <w:bottom w:val="none" w:sz="0" w:space="0" w:color="auto"/>
        <w:right w:val="none" w:sz="0" w:space="0" w:color="auto"/>
      </w:divBdr>
    </w:div>
    <w:div w:id="919681780">
      <w:bodyDiv w:val="1"/>
      <w:marLeft w:val="0"/>
      <w:marRight w:val="0"/>
      <w:marTop w:val="0"/>
      <w:marBottom w:val="0"/>
      <w:divBdr>
        <w:top w:val="none" w:sz="0" w:space="0" w:color="auto"/>
        <w:left w:val="none" w:sz="0" w:space="0" w:color="auto"/>
        <w:bottom w:val="none" w:sz="0" w:space="0" w:color="auto"/>
        <w:right w:val="none" w:sz="0" w:space="0" w:color="auto"/>
      </w:divBdr>
    </w:div>
    <w:div w:id="1002780395">
      <w:bodyDiv w:val="1"/>
      <w:marLeft w:val="0"/>
      <w:marRight w:val="0"/>
      <w:marTop w:val="0"/>
      <w:marBottom w:val="0"/>
      <w:divBdr>
        <w:top w:val="none" w:sz="0" w:space="0" w:color="auto"/>
        <w:left w:val="none" w:sz="0" w:space="0" w:color="auto"/>
        <w:bottom w:val="none" w:sz="0" w:space="0" w:color="auto"/>
        <w:right w:val="none" w:sz="0" w:space="0" w:color="auto"/>
      </w:divBdr>
    </w:div>
    <w:div w:id="1033380813">
      <w:bodyDiv w:val="1"/>
      <w:marLeft w:val="0"/>
      <w:marRight w:val="0"/>
      <w:marTop w:val="0"/>
      <w:marBottom w:val="0"/>
      <w:divBdr>
        <w:top w:val="none" w:sz="0" w:space="0" w:color="auto"/>
        <w:left w:val="none" w:sz="0" w:space="0" w:color="auto"/>
        <w:bottom w:val="none" w:sz="0" w:space="0" w:color="auto"/>
        <w:right w:val="none" w:sz="0" w:space="0" w:color="auto"/>
      </w:divBdr>
    </w:div>
    <w:div w:id="1194463085">
      <w:bodyDiv w:val="1"/>
      <w:marLeft w:val="0"/>
      <w:marRight w:val="0"/>
      <w:marTop w:val="0"/>
      <w:marBottom w:val="0"/>
      <w:divBdr>
        <w:top w:val="none" w:sz="0" w:space="0" w:color="auto"/>
        <w:left w:val="none" w:sz="0" w:space="0" w:color="auto"/>
        <w:bottom w:val="none" w:sz="0" w:space="0" w:color="auto"/>
        <w:right w:val="none" w:sz="0" w:space="0" w:color="auto"/>
      </w:divBdr>
    </w:div>
    <w:div w:id="1269629752">
      <w:bodyDiv w:val="1"/>
      <w:marLeft w:val="0"/>
      <w:marRight w:val="0"/>
      <w:marTop w:val="0"/>
      <w:marBottom w:val="0"/>
      <w:divBdr>
        <w:top w:val="none" w:sz="0" w:space="0" w:color="auto"/>
        <w:left w:val="none" w:sz="0" w:space="0" w:color="auto"/>
        <w:bottom w:val="none" w:sz="0" w:space="0" w:color="auto"/>
        <w:right w:val="none" w:sz="0" w:space="0" w:color="auto"/>
      </w:divBdr>
    </w:div>
    <w:div w:id="1375691596">
      <w:bodyDiv w:val="1"/>
      <w:marLeft w:val="0"/>
      <w:marRight w:val="0"/>
      <w:marTop w:val="0"/>
      <w:marBottom w:val="0"/>
      <w:divBdr>
        <w:top w:val="none" w:sz="0" w:space="0" w:color="auto"/>
        <w:left w:val="none" w:sz="0" w:space="0" w:color="auto"/>
        <w:bottom w:val="none" w:sz="0" w:space="0" w:color="auto"/>
        <w:right w:val="none" w:sz="0" w:space="0" w:color="auto"/>
      </w:divBdr>
    </w:div>
    <w:div w:id="1447307580">
      <w:bodyDiv w:val="1"/>
      <w:marLeft w:val="0"/>
      <w:marRight w:val="0"/>
      <w:marTop w:val="0"/>
      <w:marBottom w:val="0"/>
      <w:divBdr>
        <w:top w:val="none" w:sz="0" w:space="0" w:color="auto"/>
        <w:left w:val="none" w:sz="0" w:space="0" w:color="auto"/>
        <w:bottom w:val="none" w:sz="0" w:space="0" w:color="auto"/>
        <w:right w:val="none" w:sz="0" w:space="0" w:color="auto"/>
      </w:divBdr>
    </w:div>
    <w:div w:id="1461457632">
      <w:bodyDiv w:val="1"/>
      <w:marLeft w:val="0"/>
      <w:marRight w:val="0"/>
      <w:marTop w:val="0"/>
      <w:marBottom w:val="0"/>
      <w:divBdr>
        <w:top w:val="none" w:sz="0" w:space="0" w:color="auto"/>
        <w:left w:val="none" w:sz="0" w:space="0" w:color="auto"/>
        <w:bottom w:val="none" w:sz="0" w:space="0" w:color="auto"/>
        <w:right w:val="none" w:sz="0" w:space="0" w:color="auto"/>
      </w:divBdr>
    </w:div>
    <w:div w:id="1749616555">
      <w:bodyDiv w:val="1"/>
      <w:marLeft w:val="0"/>
      <w:marRight w:val="0"/>
      <w:marTop w:val="0"/>
      <w:marBottom w:val="0"/>
      <w:divBdr>
        <w:top w:val="none" w:sz="0" w:space="0" w:color="auto"/>
        <w:left w:val="none" w:sz="0" w:space="0" w:color="auto"/>
        <w:bottom w:val="none" w:sz="0" w:space="0" w:color="auto"/>
        <w:right w:val="none" w:sz="0" w:space="0" w:color="auto"/>
      </w:divBdr>
    </w:div>
    <w:div w:id="1837770028">
      <w:bodyDiv w:val="1"/>
      <w:marLeft w:val="0"/>
      <w:marRight w:val="0"/>
      <w:marTop w:val="0"/>
      <w:marBottom w:val="0"/>
      <w:divBdr>
        <w:top w:val="none" w:sz="0" w:space="0" w:color="auto"/>
        <w:left w:val="none" w:sz="0" w:space="0" w:color="auto"/>
        <w:bottom w:val="none" w:sz="0" w:space="0" w:color="auto"/>
        <w:right w:val="none" w:sz="0" w:space="0" w:color="auto"/>
      </w:divBdr>
    </w:div>
    <w:div w:id="1842118629">
      <w:bodyDiv w:val="1"/>
      <w:marLeft w:val="0"/>
      <w:marRight w:val="0"/>
      <w:marTop w:val="0"/>
      <w:marBottom w:val="0"/>
      <w:divBdr>
        <w:top w:val="none" w:sz="0" w:space="0" w:color="auto"/>
        <w:left w:val="none" w:sz="0" w:space="0" w:color="auto"/>
        <w:bottom w:val="none" w:sz="0" w:space="0" w:color="auto"/>
        <w:right w:val="none" w:sz="0" w:space="0" w:color="auto"/>
      </w:divBdr>
    </w:div>
    <w:div w:id="1878929479">
      <w:bodyDiv w:val="1"/>
      <w:marLeft w:val="0"/>
      <w:marRight w:val="0"/>
      <w:marTop w:val="0"/>
      <w:marBottom w:val="0"/>
      <w:divBdr>
        <w:top w:val="none" w:sz="0" w:space="0" w:color="auto"/>
        <w:left w:val="none" w:sz="0" w:space="0" w:color="auto"/>
        <w:bottom w:val="none" w:sz="0" w:space="0" w:color="auto"/>
        <w:right w:val="none" w:sz="0" w:space="0" w:color="auto"/>
      </w:divBdr>
    </w:div>
    <w:div w:id="1960991677">
      <w:bodyDiv w:val="1"/>
      <w:marLeft w:val="0"/>
      <w:marRight w:val="0"/>
      <w:marTop w:val="0"/>
      <w:marBottom w:val="0"/>
      <w:divBdr>
        <w:top w:val="none" w:sz="0" w:space="0" w:color="auto"/>
        <w:left w:val="none" w:sz="0" w:space="0" w:color="auto"/>
        <w:bottom w:val="none" w:sz="0" w:space="0" w:color="auto"/>
        <w:right w:val="none" w:sz="0" w:space="0" w:color="auto"/>
      </w:divBdr>
    </w:div>
    <w:div w:id="2042314414">
      <w:bodyDiv w:val="1"/>
      <w:marLeft w:val="0"/>
      <w:marRight w:val="0"/>
      <w:marTop w:val="0"/>
      <w:marBottom w:val="0"/>
      <w:divBdr>
        <w:top w:val="none" w:sz="0" w:space="0" w:color="auto"/>
        <w:left w:val="none" w:sz="0" w:space="0" w:color="auto"/>
        <w:bottom w:val="none" w:sz="0" w:space="0" w:color="auto"/>
        <w:right w:val="none" w:sz="0" w:space="0" w:color="auto"/>
      </w:divBdr>
    </w:div>
    <w:div w:id="21145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in.ee/riigihanked-riigiabi-osalused/riigiabi/grupierandiga-holmatud-riigiabi" TargetMode="External"/><Relationship Id="rId1" Type="http://schemas.openxmlformats.org/officeDocument/2006/relationships/hyperlink" Target="https://eur-lex.europa.eu/legal-content/ET/TXT/PDF/?uri=CELEX:32023R1315"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3231</Words>
  <Characters>18746</Characters>
  <Application>Microsoft Office Word</Application>
  <DocSecurity>0</DocSecurity>
  <Lines>156</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Maaeluministeerium</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Caeiro Batista</dc:creator>
  <cp:keywords/>
  <dc:description/>
  <cp:lastModifiedBy>Tea Caeiro Batista</cp:lastModifiedBy>
  <cp:revision>2</cp:revision>
  <dcterms:created xsi:type="dcterms:W3CDTF">2024-08-23T08:00:00Z</dcterms:created>
  <dcterms:modified xsi:type="dcterms:W3CDTF">2024-08-23T08:00:00Z</dcterms:modified>
</cp:coreProperties>
</file>